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B3152" w14:textId="77777777" w:rsidR="00C007D6" w:rsidRPr="00E42929" w:rsidRDefault="00554245" w:rsidP="00E42929">
      <w:pPr>
        <w:pStyle w:val="Heading1"/>
        <w:jc w:val="center"/>
        <w:rPr>
          <w:rFonts w:ascii="Verdana" w:hAnsi="Verdana"/>
          <w:color w:val="auto"/>
        </w:rPr>
      </w:pPr>
      <w:r w:rsidRPr="00E42929">
        <w:rPr>
          <w:rFonts w:ascii="Verdana" w:hAnsi="Verdana"/>
          <w:color w:val="auto"/>
        </w:rPr>
        <w:t>R</w:t>
      </w:r>
      <w:r w:rsidR="00C007D6" w:rsidRPr="00E42929">
        <w:rPr>
          <w:rFonts w:ascii="Verdana" w:hAnsi="Verdana"/>
          <w:color w:val="auto"/>
        </w:rPr>
        <w:t>eutilization</w:t>
      </w:r>
    </w:p>
    <w:p w14:paraId="7D7FE29D" w14:textId="77777777" w:rsidR="00C007D6" w:rsidRPr="00017ABE" w:rsidRDefault="00344CF7" w:rsidP="00C007D6">
      <w:r w:rsidRPr="00017ABE">
        <w:rPr>
          <w:bCs/>
        </w:rPr>
        <w:t>Device reutilization includes device exchange activities and device reassignment/refurbishment and repair activities. It also includes open-ended device loans in which the borrower can keep the device for as long as it is needed, because these loans are considered a form of “acquisition.”</w:t>
      </w:r>
    </w:p>
    <w:p w14:paraId="2E259A58" w14:textId="77777777" w:rsidR="00C007D6" w:rsidRPr="00E42929" w:rsidRDefault="00C007D6" w:rsidP="00221E23">
      <w:pPr>
        <w:pStyle w:val="Heading2"/>
      </w:pPr>
      <w:r w:rsidRPr="00E42929">
        <w:t>Definitions</w:t>
      </w:r>
    </w:p>
    <w:p w14:paraId="739EFECD" w14:textId="77777777" w:rsidR="00DA61F8" w:rsidRPr="00017ABE" w:rsidRDefault="00C007D6" w:rsidP="00C007D6">
      <w:r w:rsidRPr="00017ABE">
        <w:t>Although the AT Act does not include a formal definition of device reutilization programs, the Act describes reutilization programs as programs that provide for the exchange, repair, recycling or other reutilization of assistive technology devices, which may include redistribution through device sales, loans, rentals or donations, carried out either directly or in collaboration with public or private entities (Section 4(e)(2)(B)).</w:t>
      </w:r>
    </w:p>
    <w:p w14:paraId="35A200B3" w14:textId="77777777" w:rsidR="00C007D6" w:rsidRPr="00017ABE" w:rsidRDefault="00344CF7" w:rsidP="00C007D6">
      <w:r w:rsidRPr="00017ABE">
        <w:rPr>
          <w:bCs/>
        </w:rPr>
        <w:t xml:space="preserve">The terms reutilization and reuse are used synonymously. The following definitions are to be used for the Annual Progress Report </w:t>
      </w:r>
      <w:r w:rsidR="00600E4A">
        <w:rPr>
          <w:bCs/>
        </w:rPr>
        <w:t xml:space="preserve">(APR) </w:t>
      </w:r>
      <w:r w:rsidRPr="00017ABE">
        <w:rPr>
          <w:bCs/>
        </w:rPr>
        <w:t xml:space="preserve">and will also be used for the </w:t>
      </w:r>
      <w:r w:rsidR="004967ED" w:rsidRPr="00017ABE">
        <w:rPr>
          <w:bCs/>
        </w:rPr>
        <w:t>new state plan that will be submitted in spring of 2018</w:t>
      </w:r>
      <w:r w:rsidRPr="00017ABE">
        <w:rPr>
          <w:bCs/>
        </w:rPr>
        <w:t xml:space="preserve">. </w:t>
      </w:r>
    </w:p>
    <w:p w14:paraId="2301A12E" w14:textId="77777777" w:rsidR="000C62E9" w:rsidRDefault="00810C9D" w:rsidP="00221E23">
      <w:pPr>
        <w:pStyle w:val="Heading2"/>
        <w:rPr>
          <w:bCs/>
        </w:rPr>
      </w:pPr>
      <w:r w:rsidRPr="00E42929">
        <w:rPr>
          <w:rStyle w:val="Heading3Char"/>
          <w:rFonts w:ascii="Verdana" w:hAnsi="Verdana"/>
          <w:color w:val="auto"/>
          <w:sz w:val="22"/>
          <w:szCs w:val="22"/>
        </w:rPr>
        <w:t>Device exchange activities</w:t>
      </w:r>
    </w:p>
    <w:p w14:paraId="10912680" w14:textId="5AD8FA42" w:rsidR="004967ED" w:rsidRPr="00017ABE" w:rsidRDefault="00600E4A" w:rsidP="004967ED">
      <w:pPr>
        <w:rPr>
          <w:bCs/>
        </w:rPr>
      </w:pPr>
      <w:r>
        <w:rPr>
          <w:bCs/>
        </w:rPr>
        <w:t>These encompass a</w:t>
      </w:r>
      <w:r w:rsidR="00810C9D" w:rsidRPr="00017ABE">
        <w:rPr>
          <w:bCs/>
        </w:rPr>
        <w:t xml:space="preserve">ctivities in which devices are </w:t>
      </w:r>
      <w:r w:rsidR="004967ED" w:rsidRPr="00017ABE">
        <w:rPr>
          <w:bCs/>
        </w:rPr>
        <w:t xml:space="preserve">listed in a “want ad”-type posting and consumers can contact and arrange to obtain the device (either by purchasing it or obtaining it for free) from the current owner. Exchange activities do not involve warehousing inventory and do not include sanitation or refurbishing of used devices. In some cases, a State AT Program serves as an intermediary directly involved in making this exchange; in others the consumer and current owner make this exchange without the involvement of the State AT Program. Data on device exchange may be difficult to gather if your program does not serve as an intermediary directly involved in the exchange.  </w:t>
      </w:r>
    </w:p>
    <w:p w14:paraId="2B7EA63D" w14:textId="5105A9D1" w:rsidR="000C62E9" w:rsidRDefault="00810C9D" w:rsidP="00221E23">
      <w:pPr>
        <w:pStyle w:val="Heading2"/>
        <w:rPr>
          <w:bCs/>
        </w:rPr>
      </w:pPr>
      <w:r w:rsidRPr="00E42929">
        <w:rPr>
          <w:rStyle w:val="Heading3Char"/>
          <w:rFonts w:ascii="Verdana" w:hAnsi="Verdana"/>
          <w:color w:val="auto"/>
          <w:sz w:val="22"/>
          <w:szCs w:val="22"/>
        </w:rPr>
        <w:t>Device reassignment/refurbishment and repair activities</w:t>
      </w:r>
      <w:r w:rsidRPr="00600E4A">
        <w:rPr>
          <w:bCs/>
        </w:rPr>
        <w:t xml:space="preserve"> </w:t>
      </w:r>
    </w:p>
    <w:p w14:paraId="34BC2C4E" w14:textId="615089B8" w:rsidR="000C62E9" w:rsidRPr="00E42929" w:rsidRDefault="00600E4A" w:rsidP="00DD281B">
      <w:r w:rsidRPr="00E42929">
        <w:t>Device reassignment and refurbishment a</w:t>
      </w:r>
      <w:r w:rsidR="00810C9D" w:rsidRPr="00E42929">
        <w:t>ctivities</w:t>
      </w:r>
      <w:r w:rsidRPr="00E42929">
        <w:t xml:space="preserve"> are those</w:t>
      </w:r>
      <w:r w:rsidR="00810C9D" w:rsidRPr="00E42929">
        <w:t xml:space="preserve"> in which devices </w:t>
      </w:r>
      <w:r w:rsidR="00BE6037" w:rsidRPr="00E42929">
        <w:t>are accepted (usually by donation) into an inventory; are sanitized and/or refurbished as needed; and then offered for sale, loan, rental, or give</w:t>
      </w:r>
      <w:r w:rsidR="00302110" w:rsidRPr="00E42929">
        <w:t>n</w:t>
      </w:r>
      <w:r w:rsidR="00BE6037" w:rsidRPr="00E42929">
        <w:t xml:space="preserve"> away to consumers as redistributed products. </w:t>
      </w:r>
      <w:r w:rsidR="000C62E9" w:rsidRPr="00E42929">
        <w:t>The consumer becomes the permanent owner of the device.</w:t>
      </w:r>
    </w:p>
    <w:p w14:paraId="31FC8461" w14:textId="77777777" w:rsidR="000C62E9" w:rsidRDefault="000C62E9" w:rsidP="00BE6037">
      <w:pPr>
        <w:rPr>
          <w:bCs/>
        </w:rPr>
      </w:pPr>
    </w:p>
    <w:p w14:paraId="3F6F4120" w14:textId="1158090C" w:rsidR="00BE6037" w:rsidRDefault="00BE6037" w:rsidP="00E42929">
      <w:pPr>
        <w:pStyle w:val="Heading4"/>
      </w:pPr>
      <w:r w:rsidRPr="00E42929">
        <w:rPr>
          <w:rFonts w:ascii="Verdana" w:hAnsi="Verdana"/>
          <w:i w:val="0"/>
          <w:color w:val="auto"/>
        </w:rPr>
        <w:t xml:space="preserve">Repair activities are those in which device(s) are repaired for an individual (without the ownership of the device changing hands) </w:t>
      </w:r>
      <w:r w:rsidR="00600E4A" w:rsidRPr="00E42929">
        <w:rPr>
          <w:rFonts w:ascii="Verdana" w:hAnsi="Verdana"/>
          <w:i w:val="0"/>
          <w:color w:val="auto"/>
        </w:rPr>
        <w:t xml:space="preserve">thus avoiding </w:t>
      </w:r>
      <w:r w:rsidRPr="00E42929">
        <w:rPr>
          <w:rFonts w:ascii="Verdana" w:hAnsi="Verdana"/>
          <w:i w:val="0"/>
          <w:color w:val="auto"/>
        </w:rPr>
        <w:t>the owner</w:t>
      </w:r>
      <w:r w:rsidR="00600E4A" w:rsidRPr="00E42929">
        <w:rPr>
          <w:rFonts w:ascii="Verdana" w:hAnsi="Verdana"/>
          <w:i w:val="0"/>
          <w:color w:val="auto"/>
        </w:rPr>
        <w:t>’s need</w:t>
      </w:r>
      <w:r w:rsidRPr="00E42929">
        <w:rPr>
          <w:rFonts w:ascii="Verdana" w:hAnsi="Verdana"/>
          <w:i w:val="0"/>
          <w:color w:val="auto"/>
        </w:rPr>
        <w:t xml:space="preserve"> to purchase a </w:t>
      </w:r>
      <w:r w:rsidR="00600E4A" w:rsidRPr="00E42929">
        <w:rPr>
          <w:rFonts w:ascii="Verdana" w:hAnsi="Verdana"/>
          <w:i w:val="0"/>
          <w:color w:val="auto"/>
        </w:rPr>
        <w:t xml:space="preserve">new </w:t>
      </w:r>
      <w:r w:rsidRPr="00E42929">
        <w:rPr>
          <w:rFonts w:ascii="Verdana" w:hAnsi="Verdana"/>
          <w:i w:val="0"/>
          <w:color w:val="auto"/>
        </w:rPr>
        <w:t>device.</w:t>
      </w:r>
    </w:p>
    <w:p w14:paraId="2A2231D5" w14:textId="77777777" w:rsidR="000C62E9" w:rsidRPr="000C62E9" w:rsidRDefault="000C62E9" w:rsidP="000C62E9"/>
    <w:p w14:paraId="7CDE7D9C" w14:textId="53C1270F" w:rsidR="00810C9D" w:rsidRPr="00017ABE" w:rsidRDefault="00BE6037" w:rsidP="00DD281B">
      <w:pPr>
        <w:rPr>
          <w:bCs/>
        </w:rPr>
      </w:pPr>
      <w:r w:rsidRPr="0009455A">
        <w:rPr>
          <w:rStyle w:val="Heading4Char"/>
          <w:rFonts w:ascii="Verdana" w:hAnsi="Verdana"/>
          <w:i w:val="0"/>
          <w:color w:val="auto"/>
        </w:rPr>
        <w:lastRenderedPageBreak/>
        <w:t xml:space="preserve">Devices in a reuse inventory can be reassigned on a permanent basis to a new </w:t>
      </w:r>
      <w:r w:rsidRPr="00E42929">
        <w:rPr>
          <w:rStyle w:val="Heading4Char"/>
          <w:rFonts w:ascii="Verdana" w:hAnsi="Verdana"/>
          <w:i w:val="0"/>
          <w:color w:val="auto"/>
        </w:rPr>
        <w:t>“owner” or provided as an open-ended loan to a borrower</w:t>
      </w:r>
      <w:r w:rsidR="000C62E9" w:rsidRPr="00E42929">
        <w:rPr>
          <w:rStyle w:val="Heading4Char"/>
          <w:rFonts w:ascii="Verdana" w:hAnsi="Verdana"/>
          <w:i w:val="0"/>
          <w:color w:val="auto"/>
        </w:rPr>
        <w:t>.</w:t>
      </w:r>
      <w:r w:rsidR="000C62E9" w:rsidRPr="000C62E9">
        <w:rPr>
          <w:bCs/>
        </w:rPr>
        <w:t xml:space="preserve">  </w:t>
      </w:r>
      <w:r w:rsidRPr="00017ABE">
        <w:rPr>
          <w:bCs/>
        </w:rPr>
        <w:t>Open-ended device loans are generally distinguishable from short-term device loans by the length of the loan period. Open-ended loans are generally long term</w:t>
      </w:r>
      <w:r w:rsidR="00600E4A">
        <w:rPr>
          <w:bCs/>
        </w:rPr>
        <w:t xml:space="preserve"> (at least several months)</w:t>
      </w:r>
      <w:r w:rsidRPr="00017ABE">
        <w:rPr>
          <w:bCs/>
        </w:rPr>
        <w:t xml:space="preserve"> with the device </w:t>
      </w:r>
      <w:r w:rsidR="00600E4A">
        <w:rPr>
          <w:bCs/>
        </w:rPr>
        <w:t xml:space="preserve">provided to the </w:t>
      </w:r>
      <w:r w:rsidRPr="00017ABE">
        <w:rPr>
          <w:bCs/>
        </w:rPr>
        <w:t xml:space="preserve">consumer </w:t>
      </w:r>
      <w:r w:rsidR="000C62E9">
        <w:rPr>
          <w:bCs/>
        </w:rPr>
        <w:t>for as long as s/he needs it; o</w:t>
      </w:r>
      <w:r w:rsidRPr="00017ABE">
        <w:rPr>
          <w:bCs/>
        </w:rPr>
        <w:t xml:space="preserve">wnership </w:t>
      </w:r>
      <w:r w:rsidR="00D45A1F">
        <w:rPr>
          <w:bCs/>
        </w:rPr>
        <w:t xml:space="preserve">usually </w:t>
      </w:r>
      <w:r w:rsidR="000C62E9">
        <w:rPr>
          <w:bCs/>
        </w:rPr>
        <w:t>does not transfer to the consumer.</w:t>
      </w:r>
    </w:p>
    <w:p w14:paraId="7E85C394" w14:textId="77777777" w:rsidR="00793E39" w:rsidRPr="00E42929" w:rsidRDefault="00810C9D" w:rsidP="00221E23">
      <w:pPr>
        <w:pStyle w:val="Heading2"/>
      </w:pPr>
      <w:r w:rsidRPr="00E42929">
        <w:t>Performance Measures</w:t>
      </w:r>
      <w:r w:rsidR="00793E39" w:rsidRPr="00E42929">
        <w:t xml:space="preserve"> and Required Data Collection Elements</w:t>
      </w:r>
    </w:p>
    <w:p w14:paraId="6CACF2FC" w14:textId="4EC1DEB7" w:rsidR="00810C9D" w:rsidRPr="00017ABE" w:rsidRDefault="00793E39" w:rsidP="00C007D6">
      <w:pPr>
        <w:rPr>
          <w:bCs/>
        </w:rPr>
      </w:pPr>
      <w:r w:rsidRPr="00017ABE">
        <w:rPr>
          <w:bCs/>
        </w:rPr>
        <w:t>Device reuse activities are covered by the Acquisition Performance Measure. To report data for this measure, state</w:t>
      </w:r>
      <w:r w:rsidR="000C62E9">
        <w:rPr>
          <w:bCs/>
        </w:rPr>
        <w:t xml:space="preserve"> </w:t>
      </w:r>
      <w:r w:rsidRPr="00017ABE">
        <w:rPr>
          <w:bCs/>
        </w:rPr>
        <w:t>AT programs must collect follow-up information from consumers</w:t>
      </w:r>
      <w:r w:rsidR="00632BD5" w:rsidRPr="00017ABE">
        <w:rPr>
          <w:bCs/>
        </w:rPr>
        <w:t xml:space="preserve"> regarding the primary purpose for which AT was needed and customer satisfaction. </w:t>
      </w:r>
      <w:r w:rsidR="004B47BF" w:rsidRPr="00017ABE">
        <w:rPr>
          <w:bCs/>
        </w:rPr>
        <w:t>Data elements include the number, type, estimated value, and scope of assistive technology devices exchanged, repaired, recycled, or reutilized (including redistributed through device sales, loans, rentals, or donations) through the device reutilization activities</w:t>
      </w:r>
      <w:r w:rsidR="005178D9" w:rsidRPr="00017ABE">
        <w:rPr>
          <w:bCs/>
        </w:rPr>
        <w:t xml:space="preserve">. </w:t>
      </w:r>
      <w:r w:rsidR="00632BD5" w:rsidRPr="00017ABE">
        <w:rPr>
          <w:bCs/>
        </w:rPr>
        <w:t xml:space="preserve">Programs must also provide one anecdote about an individual who benefited from the activity. </w:t>
      </w:r>
      <w:r w:rsidR="00E05864" w:rsidRPr="00017ABE">
        <w:rPr>
          <w:bCs/>
        </w:rPr>
        <w:t xml:space="preserve">Programs are required to meet a minimum performance measure of 75% for acquisition activities. </w:t>
      </w:r>
      <w:r w:rsidR="00632BD5" w:rsidRPr="00017ABE">
        <w:rPr>
          <w:bCs/>
        </w:rPr>
        <w:t>Detailed information on performance measures and the</w:t>
      </w:r>
      <w:r w:rsidR="001715C2" w:rsidRPr="00017ABE">
        <w:rPr>
          <w:bCs/>
        </w:rPr>
        <w:t xml:space="preserve"> required data collection elements can be found in the instructions for the A</w:t>
      </w:r>
      <w:r w:rsidR="00632BD5" w:rsidRPr="00017ABE">
        <w:rPr>
          <w:bCs/>
        </w:rPr>
        <w:t xml:space="preserve">nnual </w:t>
      </w:r>
      <w:r w:rsidR="001715C2" w:rsidRPr="00017ABE">
        <w:rPr>
          <w:bCs/>
        </w:rPr>
        <w:t>P</w:t>
      </w:r>
      <w:r w:rsidR="00632BD5" w:rsidRPr="00017ABE">
        <w:rPr>
          <w:bCs/>
        </w:rPr>
        <w:t xml:space="preserve">rogress </w:t>
      </w:r>
      <w:r w:rsidR="001715C2" w:rsidRPr="00017ABE">
        <w:rPr>
          <w:bCs/>
        </w:rPr>
        <w:t>R</w:t>
      </w:r>
      <w:r w:rsidR="00632BD5" w:rsidRPr="00017ABE">
        <w:rPr>
          <w:bCs/>
        </w:rPr>
        <w:t xml:space="preserve">eport (APR) </w:t>
      </w:r>
      <w:r w:rsidR="001715C2" w:rsidRPr="00017ABE">
        <w:rPr>
          <w:bCs/>
        </w:rPr>
        <w:t>and the APR reporting instrument</w:t>
      </w:r>
      <w:r w:rsidR="00554245" w:rsidRPr="00017ABE">
        <w:rPr>
          <w:bCs/>
        </w:rPr>
        <w:t>.</w:t>
      </w:r>
      <w:r w:rsidR="001715C2" w:rsidRPr="00017ABE">
        <w:rPr>
          <w:bCs/>
        </w:rPr>
        <w:t xml:space="preserve"> </w:t>
      </w:r>
    </w:p>
    <w:p w14:paraId="0DF92E55" w14:textId="77777777" w:rsidR="0009455A" w:rsidRPr="00646D27" w:rsidRDefault="006044B4" w:rsidP="000C62E9">
      <w:pPr>
        <w:rPr>
          <w:rStyle w:val="Heading3Char"/>
          <w:rFonts w:ascii="Verdana" w:hAnsi="Verdana"/>
          <w:b/>
          <w:color w:val="auto"/>
          <w:sz w:val="22"/>
          <w:szCs w:val="22"/>
        </w:rPr>
      </w:pPr>
      <w:r w:rsidRPr="00646D27">
        <w:rPr>
          <w:rStyle w:val="Heading3Char"/>
          <w:rFonts w:ascii="Verdana" w:hAnsi="Verdana"/>
          <w:b/>
          <w:color w:val="auto"/>
          <w:sz w:val="22"/>
          <w:szCs w:val="22"/>
        </w:rPr>
        <w:t>2017 Reuse Data Collection Updates</w:t>
      </w:r>
    </w:p>
    <w:p w14:paraId="116025C8" w14:textId="6CB0FB01" w:rsidR="006044B4" w:rsidRPr="00E42929" w:rsidRDefault="006044B4" w:rsidP="000C62E9">
      <w:r w:rsidRPr="0009455A">
        <w:t xml:space="preserve">There </w:t>
      </w:r>
      <w:r w:rsidR="0009455A">
        <w:t>are</w:t>
      </w:r>
      <w:r w:rsidRPr="00E42929">
        <w:t xml:space="preserve"> only two reporting categories: 1) device exchange and 2) </w:t>
      </w:r>
      <w:r w:rsidR="001404D8" w:rsidRPr="00E42929">
        <w:t xml:space="preserve">device reassignment and/or open-ended loan. A program may choose to track subcategories of device refurbishment/repair but will only report the </w:t>
      </w:r>
      <w:r w:rsidR="00E05864" w:rsidRPr="00E42929">
        <w:t>aggregate</w:t>
      </w:r>
      <w:r w:rsidR="001404D8" w:rsidRPr="00E42929">
        <w:t xml:space="preserve"> data in the APR.</w:t>
      </w:r>
      <w:r w:rsidR="00E05864" w:rsidRPr="00E42929">
        <w:t xml:space="preserve"> </w:t>
      </w:r>
    </w:p>
    <w:p w14:paraId="30962D8B" w14:textId="77777777" w:rsidR="004F5F7B" w:rsidRPr="001E08FF" w:rsidRDefault="00532A19" w:rsidP="00221E23">
      <w:pPr>
        <w:pStyle w:val="Heading2"/>
      </w:pPr>
      <w:r w:rsidRPr="001E08FF">
        <w:t xml:space="preserve">Frequently Asked Questions </w:t>
      </w:r>
    </w:p>
    <w:p w14:paraId="0C5DF6B4" w14:textId="77777777" w:rsidR="004F5F7B" w:rsidRPr="00E42929" w:rsidRDefault="004F5F7B" w:rsidP="00E42929">
      <w:pPr>
        <w:pStyle w:val="Heading3"/>
        <w:rPr>
          <w:sz w:val="22"/>
        </w:rPr>
      </w:pPr>
      <w:r w:rsidRPr="00E42929">
        <w:rPr>
          <w:rFonts w:ascii="Verdana" w:hAnsi="Verdana"/>
          <w:b/>
          <w:color w:val="auto"/>
          <w:sz w:val="22"/>
          <w:szCs w:val="22"/>
        </w:rPr>
        <w:t>Must a program perform reutilization activities</w:t>
      </w:r>
      <w:r w:rsidRPr="00E42929">
        <w:rPr>
          <w:rFonts w:ascii="Verdana" w:hAnsi="Verdana"/>
          <w:color w:val="auto"/>
          <w:sz w:val="22"/>
          <w:szCs w:val="22"/>
        </w:rPr>
        <w:t>?</w:t>
      </w:r>
    </w:p>
    <w:p w14:paraId="0BCE1CA1" w14:textId="239D1EA3" w:rsidR="004F5F7B" w:rsidRPr="00017ABE" w:rsidRDefault="004F5F7B" w:rsidP="00C007D6">
      <w:pPr>
        <w:rPr>
          <w:bCs/>
        </w:rPr>
      </w:pPr>
      <w:r w:rsidRPr="00017ABE">
        <w:rPr>
          <w:bCs/>
        </w:rPr>
        <w:t xml:space="preserve">No. </w:t>
      </w:r>
      <w:r w:rsidR="00B51590" w:rsidRPr="00017ABE">
        <w:rPr>
          <w:bCs/>
        </w:rPr>
        <w:t>Section 4(e)(6) of the AT Act allows a state to carry out any two or more of the required state-level activities, meaning a state can choose not to conduct up to two activities. However, i</w:t>
      </w:r>
      <w:r w:rsidRPr="00017ABE">
        <w:rPr>
          <w:bCs/>
        </w:rPr>
        <w:t xml:space="preserve">n order for a program to not do any reutilization activities </w:t>
      </w:r>
      <w:r w:rsidR="00D45A1F">
        <w:rPr>
          <w:bCs/>
        </w:rPr>
        <w:t xml:space="preserve">it </w:t>
      </w:r>
      <w:r w:rsidRPr="00017ABE">
        <w:rPr>
          <w:bCs/>
        </w:rPr>
        <w:t xml:space="preserve">must claim either comparability or flexibility in </w:t>
      </w:r>
      <w:r w:rsidR="00D45A1F">
        <w:rPr>
          <w:bCs/>
        </w:rPr>
        <w:t>its</w:t>
      </w:r>
      <w:r w:rsidRPr="00017ABE">
        <w:rPr>
          <w:bCs/>
        </w:rPr>
        <w:t xml:space="preserve"> </w:t>
      </w:r>
      <w:r w:rsidR="00D45A1F">
        <w:rPr>
          <w:bCs/>
        </w:rPr>
        <w:t>S</w:t>
      </w:r>
      <w:r w:rsidRPr="00017ABE">
        <w:rPr>
          <w:bCs/>
        </w:rPr>
        <w:t xml:space="preserve">tate </w:t>
      </w:r>
      <w:r w:rsidR="00D45A1F">
        <w:rPr>
          <w:bCs/>
        </w:rPr>
        <w:t>P</w:t>
      </w:r>
      <w:r w:rsidRPr="00017ABE">
        <w:rPr>
          <w:bCs/>
        </w:rPr>
        <w:t>lan</w:t>
      </w:r>
      <w:r w:rsidR="00D45A1F">
        <w:rPr>
          <w:bCs/>
        </w:rPr>
        <w:t xml:space="preserve"> for Assistive Technology</w:t>
      </w:r>
      <w:r w:rsidRPr="00017ABE">
        <w:rPr>
          <w:bCs/>
        </w:rPr>
        <w:t>.</w:t>
      </w:r>
    </w:p>
    <w:p w14:paraId="1C06549C" w14:textId="4DA11006" w:rsidR="00D45A1F" w:rsidRPr="00E42929" w:rsidRDefault="00B51590" w:rsidP="00E42929">
      <w:pPr>
        <w:pStyle w:val="Heading3"/>
        <w:rPr>
          <w:rFonts w:ascii="Verdana" w:hAnsi="Verdana"/>
          <w:color w:val="auto"/>
        </w:rPr>
      </w:pPr>
      <w:r w:rsidRPr="00E42929">
        <w:rPr>
          <w:rFonts w:ascii="Verdana" w:hAnsi="Verdana"/>
          <w:b/>
          <w:color w:val="auto"/>
          <w:sz w:val="22"/>
        </w:rPr>
        <w:t xml:space="preserve">If a program does perform reutilization activities </w:t>
      </w:r>
      <w:r w:rsidR="00D45A1F" w:rsidRPr="00E42929">
        <w:rPr>
          <w:rFonts w:ascii="Verdana" w:hAnsi="Verdana"/>
          <w:b/>
          <w:color w:val="auto"/>
          <w:sz w:val="22"/>
        </w:rPr>
        <w:t>must it</w:t>
      </w:r>
      <w:r w:rsidRPr="00E42929">
        <w:rPr>
          <w:rFonts w:ascii="Verdana" w:hAnsi="Verdana"/>
          <w:b/>
          <w:color w:val="auto"/>
          <w:sz w:val="22"/>
        </w:rPr>
        <w:t xml:space="preserve"> do all of the activities?</w:t>
      </w:r>
    </w:p>
    <w:p w14:paraId="41730344" w14:textId="77777777" w:rsidR="00B51590" w:rsidRPr="00017ABE" w:rsidRDefault="00B51590" w:rsidP="00C007D6">
      <w:pPr>
        <w:rPr>
          <w:bCs/>
        </w:rPr>
      </w:pPr>
      <w:r w:rsidRPr="00017ABE">
        <w:rPr>
          <w:bCs/>
        </w:rPr>
        <w:t>No. A program can choose to do only one type of reutilization activity or numerous activities.</w:t>
      </w:r>
    </w:p>
    <w:p w14:paraId="74512224" w14:textId="77777777" w:rsidR="00FB4013" w:rsidRPr="00E42929" w:rsidRDefault="00FB4013" w:rsidP="00E42929">
      <w:pPr>
        <w:pStyle w:val="Heading3"/>
        <w:rPr>
          <w:b/>
          <w:sz w:val="22"/>
        </w:rPr>
      </w:pPr>
      <w:r w:rsidRPr="00E42929">
        <w:rPr>
          <w:rFonts w:ascii="Verdana" w:hAnsi="Verdana"/>
          <w:b/>
          <w:color w:val="auto"/>
          <w:sz w:val="22"/>
          <w:szCs w:val="22"/>
        </w:rPr>
        <w:lastRenderedPageBreak/>
        <w:t>What if we have an exchange program but have difficulty obtaining performance measures because we have no direct contact with the buyer or seller?</w:t>
      </w:r>
    </w:p>
    <w:p w14:paraId="6797A222" w14:textId="77777777" w:rsidR="00FB4013" w:rsidRPr="00017ABE" w:rsidRDefault="00FB4013" w:rsidP="00FB4013">
      <w:pPr>
        <w:rPr>
          <w:bCs/>
        </w:rPr>
      </w:pPr>
      <w:r w:rsidRPr="00017ABE">
        <w:rPr>
          <w:bCs/>
        </w:rPr>
        <w:t xml:space="preserve">You can choose not to report this data but should only do so if your program has data from other acquisition activities. To avoid lacking data related to acquisition, states that solely administer a device exchange program and do not have data from state financing (e.g. because they have claimed comparability or flexibility) or other forms of device reutilization are strongly encouraged to collect performance measure data on their device exchange activities. </w:t>
      </w:r>
    </w:p>
    <w:p w14:paraId="3F33D149" w14:textId="77777777" w:rsidR="00550992" w:rsidRPr="00E42929" w:rsidRDefault="00550992" w:rsidP="00E42929">
      <w:pPr>
        <w:pStyle w:val="Heading3"/>
        <w:rPr>
          <w:b/>
          <w:sz w:val="22"/>
        </w:rPr>
      </w:pPr>
      <w:r w:rsidRPr="00E42929">
        <w:rPr>
          <w:rFonts w:ascii="Verdana" w:hAnsi="Verdana"/>
          <w:b/>
          <w:color w:val="auto"/>
          <w:sz w:val="22"/>
          <w:szCs w:val="22"/>
        </w:rPr>
        <w:t>Can we modify or change the Performance Measure questions?</w:t>
      </w:r>
    </w:p>
    <w:p w14:paraId="41F0BCAE" w14:textId="665D1A01" w:rsidR="00CD2706" w:rsidRPr="00017ABE" w:rsidRDefault="00550992" w:rsidP="00550992">
      <w:pPr>
        <w:rPr>
          <w:bCs/>
        </w:rPr>
      </w:pPr>
      <w:r w:rsidRPr="00017ABE">
        <w:rPr>
          <w:bCs/>
        </w:rPr>
        <w:t xml:space="preserve">No. </w:t>
      </w:r>
      <w:r w:rsidR="00D45A1F">
        <w:rPr>
          <w:bCs/>
        </w:rPr>
        <w:t>T</w:t>
      </w:r>
      <w:r w:rsidRPr="00017ABE">
        <w:rPr>
          <w:bCs/>
        </w:rPr>
        <w:t xml:space="preserve">he performance measure questions have been approved by the Office of Management and Budget (OMB) and they cannot be modified. Programs should make the documents available in accessible formats and can translate them into other languages as long as the questions remain consistent with the OMB approved language. </w:t>
      </w:r>
    </w:p>
    <w:p w14:paraId="4B832CE9" w14:textId="77777777" w:rsidR="00CD2706" w:rsidRPr="00E42929" w:rsidRDefault="00CD2706" w:rsidP="00E42929">
      <w:pPr>
        <w:pStyle w:val="Heading3"/>
        <w:rPr>
          <w:b/>
          <w:sz w:val="22"/>
        </w:rPr>
      </w:pPr>
      <w:r w:rsidRPr="00E42929">
        <w:rPr>
          <w:rFonts w:ascii="Verdana" w:hAnsi="Verdana"/>
          <w:b/>
          <w:color w:val="auto"/>
          <w:sz w:val="22"/>
          <w:szCs w:val="22"/>
        </w:rPr>
        <w:t>What if individuals served do not respond to the questions?</w:t>
      </w:r>
    </w:p>
    <w:p w14:paraId="025ECE59" w14:textId="49A150B4" w:rsidR="00CD2706" w:rsidRPr="00017ABE" w:rsidRDefault="00CD2706" w:rsidP="00550992">
      <w:pPr>
        <w:rPr>
          <w:bCs/>
        </w:rPr>
      </w:pPr>
      <w:r w:rsidRPr="00017ABE">
        <w:rPr>
          <w:bCs/>
        </w:rPr>
        <w:t>For state financing, re</w:t>
      </w:r>
      <w:r w:rsidR="00FB4013" w:rsidRPr="00017ABE">
        <w:rPr>
          <w:bCs/>
        </w:rPr>
        <w:t>utilization</w:t>
      </w:r>
      <w:r w:rsidRPr="00017ABE">
        <w:rPr>
          <w:bCs/>
        </w:rPr>
        <w:t xml:space="preserve">, device demonstration, </w:t>
      </w:r>
      <w:r w:rsidR="0009455A">
        <w:rPr>
          <w:bCs/>
        </w:rPr>
        <w:t xml:space="preserve">and device loan </w:t>
      </w:r>
      <w:r w:rsidRPr="00017ABE">
        <w:rPr>
          <w:bCs/>
        </w:rPr>
        <w:t>all non</w:t>
      </w:r>
      <w:r w:rsidR="005D30B5">
        <w:rPr>
          <w:bCs/>
        </w:rPr>
        <w:t>-</w:t>
      </w:r>
      <w:r w:rsidRPr="00017ABE">
        <w:rPr>
          <w:bCs/>
        </w:rPr>
        <w:t>respondents (individuals who are included in the performance measure data collection but for whom you are unable to obtain data) will be included in the calculation of the performance measure. Missing data results in a lower performance outcome and therefore every effort should be made to obtain the data.</w:t>
      </w:r>
      <w:r w:rsidR="009428A2" w:rsidRPr="00017ABE">
        <w:rPr>
          <w:bCs/>
        </w:rPr>
        <w:t xml:space="preserve"> </w:t>
      </w:r>
      <w:r w:rsidR="00FB4013" w:rsidRPr="00017ABE">
        <w:rPr>
          <w:bCs/>
        </w:rPr>
        <w:t>Only device loan activities have an</w:t>
      </w:r>
      <w:r w:rsidR="009428A2" w:rsidRPr="00017ABE">
        <w:rPr>
          <w:bCs/>
        </w:rPr>
        <w:t xml:space="preserve"> exception </w:t>
      </w:r>
      <w:r w:rsidR="00D45A1F">
        <w:rPr>
          <w:bCs/>
        </w:rPr>
        <w:t xml:space="preserve">as </w:t>
      </w:r>
      <w:r w:rsidR="009428A2" w:rsidRPr="00017ABE">
        <w:rPr>
          <w:bCs/>
        </w:rPr>
        <w:t>to how non</w:t>
      </w:r>
      <w:r w:rsidR="005D30B5">
        <w:rPr>
          <w:bCs/>
        </w:rPr>
        <w:t>-</w:t>
      </w:r>
      <w:r w:rsidR="009428A2" w:rsidRPr="00017ABE">
        <w:rPr>
          <w:bCs/>
        </w:rPr>
        <w:t>respondents are calculated</w:t>
      </w:r>
      <w:r w:rsidR="00FB4013" w:rsidRPr="00017ABE">
        <w:rPr>
          <w:bCs/>
        </w:rPr>
        <w:t>.</w:t>
      </w:r>
      <w:r w:rsidR="00AE528A" w:rsidRPr="00017ABE">
        <w:rPr>
          <w:bCs/>
        </w:rPr>
        <w:t xml:space="preserve"> For more information refer to the APR instructions.</w:t>
      </w:r>
    </w:p>
    <w:p w14:paraId="0A1EEECC" w14:textId="77777777" w:rsidR="00F550EC" w:rsidRPr="00E42929" w:rsidRDefault="00F550EC" w:rsidP="00E42929">
      <w:pPr>
        <w:pStyle w:val="Heading3"/>
        <w:rPr>
          <w:b/>
          <w:sz w:val="22"/>
        </w:rPr>
      </w:pPr>
      <w:r w:rsidRPr="00E42929">
        <w:rPr>
          <w:rFonts w:ascii="Verdana" w:hAnsi="Verdana"/>
          <w:b/>
          <w:color w:val="auto"/>
          <w:sz w:val="22"/>
          <w:szCs w:val="22"/>
        </w:rPr>
        <w:t>Do programs always maintain ownership of devices in open ended loan inventories?</w:t>
      </w:r>
    </w:p>
    <w:p w14:paraId="5FBBC002" w14:textId="77777777" w:rsidR="00F550EC" w:rsidRPr="00017ABE" w:rsidRDefault="00F550EC" w:rsidP="00550992">
      <w:pPr>
        <w:rPr>
          <w:bCs/>
        </w:rPr>
      </w:pPr>
      <w:r w:rsidRPr="00017ABE">
        <w:rPr>
          <w:bCs/>
        </w:rPr>
        <w:t xml:space="preserve">No. It is a programmatic decision as to who maintains ownership of a device in open-ended loans. Ownership of the device does not affect data elements related to the APR. </w:t>
      </w:r>
    </w:p>
    <w:p w14:paraId="40C1EA87" w14:textId="5F986911" w:rsidR="008A606E" w:rsidRPr="0009455A" w:rsidRDefault="008A606E" w:rsidP="0009455A">
      <w:pPr>
        <w:pStyle w:val="Heading3"/>
        <w:rPr>
          <w:b/>
          <w:sz w:val="22"/>
        </w:rPr>
      </w:pPr>
      <w:r w:rsidRPr="0009455A">
        <w:rPr>
          <w:rFonts w:ascii="Verdana" w:hAnsi="Verdana"/>
          <w:b/>
          <w:color w:val="auto"/>
          <w:sz w:val="22"/>
          <w:szCs w:val="22"/>
        </w:rPr>
        <w:t xml:space="preserve">Why </w:t>
      </w:r>
      <w:r w:rsidR="00D45A1F">
        <w:rPr>
          <w:rFonts w:ascii="Verdana" w:hAnsi="Verdana"/>
          <w:b/>
          <w:color w:val="auto"/>
          <w:sz w:val="22"/>
          <w:szCs w:val="22"/>
        </w:rPr>
        <w:t>would</w:t>
      </w:r>
      <w:r w:rsidRPr="0009455A">
        <w:rPr>
          <w:rFonts w:ascii="Verdana" w:hAnsi="Verdana"/>
          <w:b/>
          <w:color w:val="auto"/>
          <w:sz w:val="22"/>
          <w:szCs w:val="22"/>
        </w:rPr>
        <w:t xml:space="preserve"> programs choose to distinguish between the activities of reassignment and open-ended loan by ownership?</w:t>
      </w:r>
    </w:p>
    <w:p w14:paraId="6A4F177B" w14:textId="77777777" w:rsidR="008A606E" w:rsidRPr="00017ABE" w:rsidRDefault="008A606E" w:rsidP="008A606E">
      <w:pPr>
        <w:rPr>
          <w:bCs/>
        </w:rPr>
      </w:pPr>
      <w:r w:rsidRPr="00017ABE">
        <w:rPr>
          <w:bCs/>
        </w:rPr>
        <w:t>The primary reasons programs distinguish ownership include:</w:t>
      </w:r>
    </w:p>
    <w:p w14:paraId="7744ACBC" w14:textId="7503944E" w:rsidR="008A606E" w:rsidRPr="00017ABE" w:rsidRDefault="008A606E" w:rsidP="008A606E">
      <w:pPr>
        <w:pStyle w:val="ListParagraph"/>
        <w:numPr>
          <w:ilvl w:val="0"/>
          <w:numId w:val="2"/>
        </w:numPr>
        <w:rPr>
          <w:bCs/>
        </w:rPr>
      </w:pPr>
      <w:r w:rsidRPr="00017ABE">
        <w:rPr>
          <w:bCs/>
        </w:rPr>
        <w:t xml:space="preserve">Policies (federal, state, and/or agency restrictions on how </w:t>
      </w:r>
      <w:r w:rsidR="00D45A1F">
        <w:rPr>
          <w:bCs/>
        </w:rPr>
        <w:t xml:space="preserve">to dispose of </w:t>
      </w:r>
      <w:r w:rsidRPr="00017ABE">
        <w:rPr>
          <w:bCs/>
        </w:rPr>
        <w:t>devices and equipment)</w:t>
      </w:r>
    </w:p>
    <w:p w14:paraId="73E94E62" w14:textId="5673558C" w:rsidR="00D45A1F" w:rsidRDefault="00D45A1F" w:rsidP="008A606E">
      <w:pPr>
        <w:pStyle w:val="ListParagraph"/>
        <w:numPr>
          <w:ilvl w:val="0"/>
          <w:numId w:val="2"/>
        </w:numPr>
        <w:rPr>
          <w:bCs/>
        </w:rPr>
      </w:pPr>
      <w:r>
        <w:rPr>
          <w:bCs/>
        </w:rPr>
        <w:t>Liability/risk (e.g. if the consumer is harmed by a used item whose title is retained by the program)</w:t>
      </w:r>
    </w:p>
    <w:p w14:paraId="0C4566A2" w14:textId="0955F19C" w:rsidR="008D7338" w:rsidRDefault="008A606E" w:rsidP="0009455A">
      <w:pPr>
        <w:pStyle w:val="ListParagraph"/>
        <w:numPr>
          <w:ilvl w:val="0"/>
          <w:numId w:val="2"/>
        </w:numPr>
        <w:rPr>
          <w:bCs/>
        </w:rPr>
      </w:pPr>
      <w:r w:rsidRPr="008D7338">
        <w:rPr>
          <w:bCs/>
        </w:rPr>
        <w:t xml:space="preserve">Inventory was purchased with the intent of </w:t>
      </w:r>
      <w:r w:rsidR="008D7338" w:rsidRPr="008D7338">
        <w:rPr>
          <w:bCs/>
        </w:rPr>
        <w:t xml:space="preserve">use as </w:t>
      </w:r>
      <w:r w:rsidRPr="008D7338">
        <w:rPr>
          <w:bCs/>
        </w:rPr>
        <w:t xml:space="preserve">open-ended loans </w:t>
      </w:r>
    </w:p>
    <w:p w14:paraId="278035D5" w14:textId="77777777" w:rsidR="00BD2776" w:rsidRPr="0009455A" w:rsidRDefault="00FB4013" w:rsidP="0009455A">
      <w:pPr>
        <w:pStyle w:val="Heading3"/>
        <w:rPr>
          <w:b/>
          <w:sz w:val="22"/>
        </w:rPr>
      </w:pPr>
      <w:r w:rsidRPr="0009455A">
        <w:rPr>
          <w:rFonts w:ascii="Verdana" w:hAnsi="Verdana"/>
          <w:b/>
          <w:color w:val="auto"/>
          <w:sz w:val="22"/>
          <w:szCs w:val="22"/>
        </w:rPr>
        <w:lastRenderedPageBreak/>
        <w:t>Can reutilization activities include e</w:t>
      </w:r>
      <w:r w:rsidR="00F34D65" w:rsidRPr="0009455A">
        <w:rPr>
          <w:rFonts w:ascii="Verdana" w:hAnsi="Verdana"/>
          <w:b/>
          <w:color w:val="auto"/>
          <w:sz w:val="22"/>
          <w:szCs w:val="22"/>
        </w:rPr>
        <w:t xml:space="preserve">mergency </w:t>
      </w:r>
      <w:r w:rsidRPr="0009455A">
        <w:rPr>
          <w:rFonts w:ascii="Verdana" w:hAnsi="Verdana"/>
          <w:b/>
          <w:color w:val="auto"/>
          <w:sz w:val="22"/>
          <w:szCs w:val="22"/>
        </w:rPr>
        <w:t>management</w:t>
      </w:r>
      <w:r w:rsidR="00BD2776" w:rsidRPr="0009455A">
        <w:rPr>
          <w:rFonts w:ascii="Verdana" w:hAnsi="Verdana"/>
          <w:b/>
          <w:color w:val="auto"/>
          <w:sz w:val="22"/>
          <w:szCs w:val="22"/>
        </w:rPr>
        <w:t>?</w:t>
      </w:r>
    </w:p>
    <w:p w14:paraId="7C9DEAA4" w14:textId="22EBC1D3" w:rsidR="00F34D65" w:rsidRPr="00017ABE" w:rsidRDefault="00F34D65" w:rsidP="00550992">
      <w:pPr>
        <w:rPr>
          <w:bCs/>
        </w:rPr>
      </w:pPr>
      <w:r w:rsidRPr="00017ABE">
        <w:rPr>
          <w:bCs/>
        </w:rPr>
        <w:t xml:space="preserve">Yes. While not specifically mentioned in the AT Act, equipment reuse is a critical component of </w:t>
      </w:r>
      <w:r w:rsidR="00FB4013" w:rsidRPr="00017ABE">
        <w:rPr>
          <w:bCs/>
        </w:rPr>
        <w:t>e</w:t>
      </w:r>
      <w:r w:rsidRPr="00017ABE">
        <w:rPr>
          <w:bCs/>
        </w:rPr>
        <w:t xml:space="preserve">mergency </w:t>
      </w:r>
      <w:r w:rsidR="00FB4013" w:rsidRPr="00017ABE">
        <w:rPr>
          <w:bCs/>
        </w:rPr>
        <w:t>m</w:t>
      </w:r>
      <w:r w:rsidRPr="00017ABE">
        <w:rPr>
          <w:bCs/>
        </w:rPr>
        <w:t xml:space="preserve">anagement. </w:t>
      </w:r>
      <w:r w:rsidR="00FB4013" w:rsidRPr="00017ABE">
        <w:rPr>
          <w:bCs/>
        </w:rPr>
        <w:t xml:space="preserve">AT Act </w:t>
      </w:r>
      <w:r w:rsidR="008D7338">
        <w:rPr>
          <w:bCs/>
        </w:rPr>
        <w:t>p</w:t>
      </w:r>
      <w:r w:rsidR="00FB4013" w:rsidRPr="00017ABE">
        <w:rPr>
          <w:bCs/>
        </w:rPr>
        <w:t xml:space="preserve">rograms have a statewide infrastructure that can be useful in meeting the needs of its citizens during an emergency or disaster, including providing equipment to survivors while they wait for replacement devices or providing AT to help make shelters </w:t>
      </w:r>
      <w:r w:rsidR="00A36FE1" w:rsidRPr="00017ABE">
        <w:rPr>
          <w:bCs/>
        </w:rPr>
        <w:t>acce</w:t>
      </w:r>
      <w:bookmarkStart w:id="0" w:name="_GoBack"/>
      <w:bookmarkEnd w:id="0"/>
      <w:r w:rsidR="00A36FE1" w:rsidRPr="00017ABE">
        <w:rPr>
          <w:bCs/>
        </w:rPr>
        <w:t xml:space="preserve">ssible. </w:t>
      </w:r>
    </w:p>
    <w:p w14:paraId="513F939B" w14:textId="7F137E89" w:rsidR="00CB71D4" w:rsidRPr="0009455A" w:rsidRDefault="008D7338" w:rsidP="0009455A">
      <w:pPr>
        <w:pStyle w:val="Heading3"/>
        <w:rPr>
          <w:b/>
          <w:sz w:val="22"/>
        </w:rPr>
      </w:pPr>
      <w:r w:rsidRPr="0009455A">
        <w:rPr>
          <w:rFonts w:ascii="Verdana" w:hAnsi="Verdana"/>
          <w:b/>
          <w:color w:val="auto"/>
          <w:sz w:val="22"/>
          <w:szCs w:val="22"/>
        </w:rPr>
        <w:t>What technical assistance is available through AT3?</w:t>
      </w:r>
    </w:p>
    <w:p w14:paraId="04C3185B" w14:textId="5129D812" w:rsidR="00A26297" w:rsidRPr="00017ABE" w:rsidRDefault="00B5698D" w:rsidP="004770FA">
      <w:pPr>
        <w:rPr>
          <w:bCs/>
        </w:rPr>
      </w:pPr>
      <w:r w:rsidRPr="00017ABE">
        <w:rPr>
          <w:bCs/>
        </w:rPr>
        <w:t>The AT3 Center can assist AT Act programs</w:t>
      </w:r>
      <w:r w:rsidR="00AD400A" w:rsidRPr="00017ABE">
        <w:rPr>
          <w:bCs/>
        </w:rPr>
        <w:t xml:space="preserve"> and their affiliates and subcontractors with</w:t>
      </w:r>
      <w:r w:rsidRPr="00017ABE">
        <w:rPr>
          <w:bCs/>
        </w:rPr>
        <w:t xml:space="preserve"> all aspects of reutilization</w:t>
      </w:r>
      <w:r w:rsidR="00AD400A" w:rsidRPr="00017ABE">
        <w:rPr>
          <w:bCs/>
        </w:rPr>
        <w:t xml:space="preserve"> that support quality implementation, best practices, </w:t>
      </w:r>
      <w:r w:rsidR="00CF252C" w:rsidRPr="00017ABE">
        <w:rPr>
          <w:bCs/>
        </w:rPr>
        <w:t xml:space="preserve">partnerships, and </w:t>
      </w:r>
      <w:r w:rsidR="00AD400A" w:rsidRPr="00017ABE">
        <w:rPr>
          <w:bCs/>
        </w:rPr>
        <w:t>policy</w:t>
      </w:r>
      <w:r w:rsidR="00CF252C" w:rsidRPr="00017ABE">
        <w:rPr>
          <w:bCs/>
        </w:rPr>
        <w:t xml:space="preserve"> driven initiatives. </w:t>
      </w:r>
      <w:r w:rsidR="00D4602B" w:rsidRPr="0009455A">
        <w:t>The</w:t>
      </w:r>
      <w:r w:rsidR="00981CDB" w:rsidRPr="0009455A">
        <w:t xml:space="preserve"> AT3 Center has a partnership with the</w:t>
      </w:r>
      <w:r w:rsidR="00D4602B" w:rsidRPr="0009455A">
        <w:t xml:space="preserve"> Pass It On Center (PIOC) at Georgia Tech</w:t>
      </w:r>
      <w:r w:rsidR="00981CDB" w:rsidRPr="0009455A">
        <w:t xml:space="preserve">. Together the two </w:t>
      </w:r>
      <w:r w:rsidR="005D30B5">
        <w:t>c</w:t>
      </w:r>
      <w:r w:rsidR="00981CDB" w:rsidRPr="0009455A">
        <w:t xml:space="preserve">enters </w:t>
      </w:r>
      <w:r w:rsidR="00D4602B" w:rsidRPr="0009455A">
        <w:t>develop</w:t>
      </w:r>
      <w:r w:rsidR="00981CDB" w:rsidRPr="0009455A">
        <w:t>,</w:t>
      </w:r>
      <w:r w:rsidR="00D4602B" w:rsidRPr="0009455A">
        <w:t xml:space="preserve"> coordinat</w:t>
      </w:r>
      <w:r w:rsidR="00981CDB" w:rsidRPr="0009455A">
        <w:t>e, and implement training and technical assistance for</w:t>
      </w:r>
      <w:r w:rsidR="00D4602B" w:rsidRPr="0009455A">
        <w:t xml:space="preserve"> AT Reuse activities and co-facilitate the Reuse Community of Practice</w:t>
      </w:r>
      <w:r w:rsidR="00981CDB" w:rsidRPr="0009455A">
        <w:t xml:space="preserve">. </w:t>
      </w:r>
      <w:r w:rsidR="005D30B5" w:rsidRPr="0009455A">
        <w:t xml:space="preserve"> </w:t>
      </w:r>
    </w:p>
    <w:p w14:paraId="0984D925" w14:textId="4D530FBB" w:rsidR="008253D8" w:rsidRDefault="004F5F7B" w:rsidP="00221E23">
      <w:pPr>
        <w:pStyle w:val="Heading2"/>
      </w:pPr>
      <w:r w:rsidRPr="00221E23">
        <w:t>Resources</w:t>
      </w:r>
      <w:r w:rsidR="007941FC" w:rsidRPr="0009455A">
        <w:t xml:space="preserve"> </w:t>
      </w:r>
    </w:p>
    <w:p w14:paraId="2F26AA51" w14:textId="32D9A9B5" w:rsidR="005D30B5" w:rsidRPr="0009455A" w:rsidRDefault="005D30B5" w:rsidP="00646D27">
      <w:pPr>
        <w:pStyle w:val="Heading3"/>
        <w:rPr>
          <w:rFonts w:ascii="Verdana" w:hAnsi="Verdana"/>
          <w:b/>
          <w:color w:val="auto"/>
          <w:sz w:val="22"/>
          <w:szCs w:val="22"/>
        </w:rPr>
      </w:pPr>
      <w:r w:rsidRPr="0009455A">
        <w:rPr>
          <w:rFonts w:ascii="Verdana" w:hAnsi="Verdana"/>
          <w:b/>
          <w:color w:val="auto"/>
          <w:sz w:val="22"/>
          <w:szCs w:val="22"/>
        </w:rPr>
        <w:t>Reuse Community of Practice (CoP)</w:t>
      </w:r>
    </w:p>
    <w:p w14:paraId="48D60C61" w14:textId="424AB468" w:rsidR="005D30B5" w:rsidRPr="00017ABE" w:rsidRDefault="005D30B5" w:rsidP="007941FC">
      <w:pPr>
        <w:rPr>
          <w:bCs/>
          <w:color w:val="FF0000"/>
        </w:rPr>
      </w:pPr>
      <w:r w:rsidRPr="00017ABE">
        <w:rPr>
          <w:bCs/>
        </w:rPr>
        <w:t xml:space="preserve">The goal of the AT Reuse CoP is to provide technical assistance and training to the Assistive Technology Act Programs in the area of AT Reuse so they can conduct safe, appropriate and effective reuse activities. The community of AT Act programs and their affiliated partners are critical team members of the CoP. Other interested programs </w:t>
      </w:r>
      <w:r>
        <w:rPr>
          <w:bCs/>
        </w:rPr>
        <w:t xml:space="preserve">that engage in reutilization activities </w:t>
      </w:r>
      <w:r w:rsidRPr="00017ABE">
        <w:rPr>
          <w:bCs/>
        </w:rPr>
        <w:t xml:space="preserve">are welcome to participate. To join, email </w:t>
      </w:r>
      <w:hyperlink r:id="rId7" w:history="1">
        <w:r w:rsidRPr="00017ABE">
          <w:rPr>
            <w:rStyle w:val="Hyperlink"/>
            <w:bCs/>
          </w:rPr>
          <w:t>kathy.laurin@ataporg.org</w:t>
        </w:r>
      </w:hyperlink>
      <w:r w:rsidRPr="00017ABE">
        <w:rPr>
          <w:bCs/>
        </w:rPr>
        <w:t>.</w:t>
      </w:r>
    </w:p>
    <w:p w14:paraId="488B15A4" w14:textId="77777777" w:rsidR="007941FC" w:rsidRPr="0009455A" w:rsidRDefault="007941FC" w:rsidP="0009455A">
      <w:pPr>
        <w:pStyle w:val="Heading3"/>
        <w:rPr>
          <w:b/>
          <w:sz w:val="22"/>
        </w:rPr>
      </w:pPr>
      <w:r w:rsidRPr="0009455A">
        <w:rPr>
          <w:rFonts w:ascii="Verdana" w:hAnsi="Verdana"/>
          <w:b/>
          <w:color w:val="auto"/>
          <w:sz w:val="22"/>
          <w:szCs w:val="22"/>
        </w:rPr>
        <w:t xml:space="preserve">Pass it On Center </w:t>
      </w:r>
      <w:r w:rsidR="00F571E3" w:rsidRPr="0009455A">
        <w:rPr>
          <w:rFonts w:ascii="Verdana" w:hAnsi="Verdana"/>
          <w:b/>
          <w:color w:val="auto"/>
          <w:sz w:val="22"/>
          <w:szCs w:val="22"/>
        </w:rPr>
        <w:t xml:space="preserve">Knowledge Base </w:t>
      </w:r>
    </w:p>
    <w:p w14:paraId="1ACA0D12" w14:textId="613142D0" w:rsidR="00380F4D" w:rsidRPr="00017ABE" w:rsidRDefault="00380F4D" w:rsidP="00C007D6">
      <w:pPr>
        <w:rPr>
          <w:bCs/>
        </w:rPr>
      </w:pPr>
      <w:r w:rsidRPr="00017ABE">
        <w:rPr>
          <w:bCs/>
        </w:rPr>
        <w:t xml:space="preserve">The Pass It On Center </w:t>
      </w:r>
      <w:r w:rsidR="005D30B5">
        <w:rPr>
          <w:bCs/>
        </w:rPr>
        <w:t xml:space="preserve">collects and curates </w:t>
      </w:r>
      <w:r w:rsidRPr="00017ABE">
        <w:rPr>
          <w:bCs/>
        </w:rPr>
        <w:t>national and state resources to foster the safe, effective and appropriate reuse of assistive technology</w:t>
      </w:r>
      <w:r w:rsidR="00F571E3" w:rsidRPr="00017ABE">
        <w:rPr>
          <w:bCs/>
        </w:rPr>
        <w:t xml:space="preserve">. This site contains a large repository on numerous topics related to reuse activities. </w:t>
      </w:r>
      <w:r w:rsidR="005D30B5" w:rsidRPr="008D7338">
        <w:rPr>
          <w:bCs/>
        </w:rPr>
        <w:t>http://www.passitoncenter.org/kb.php</w:t>
      </w:r>
      <w:r w:rsidR="005D30B5" w:rsidDel="005D30B5">
        <w:t xml:space="preserve"> </w:t>
      </w:r>
    </w:p>
    <w:p w14:paraId="5EA7FC69" w14:textId="77777777" w:rsidR="00814CA9" w:rsidRPr="00017ABE" w:rsidRDefault="00814CA9" w:rsidP="00C007D6">
      <w:pPr>
        <w:rPr>
          <w:bCs/>
        </w:rPr>
      </w:pPr>
      <w:r w:rsidRPr="00017ABE">
        <w:rPr>
          <w:bCs/>
        </w:rPr>
        <w:t xml:space="preserve">Additional resources are being updated and/or under development by the Reuse CoP. </w:t>
      </w:r>
    </w:p>
    <w:p w14:paraId="53910CAE" w14:textId="77777777" w:rsidR="0066006F" w:rsidRPr="0066006F" w:rsidRDefault="0066006F" w:rsidP="0066006F">
      <w:pPr>
        <w:spacing w:after="0" w:line="240" w:lineRule="auto"/>
        <w:rPr>
          <w:rFonts w:cs="Myriad Pro"/>
          <w:i/>
          <w:color w:val="000000"/>
          <w:sz w:val="16"/>
          <w:szCs w:val="16"/>
        </w:rPr>
      </w:pPr>
      <w:r w:rsidRPr="0066006F">
        <w:rPr>
          <w:rFonts w:cs="Myriad Pro"/>
          <w:i/>
          <w:color w:val="000000"/>
          <w:sz w:val="16"/>
          <w:szCs w:val="16"/>
        </w:rPr>
        <w:t>This document was developed and produced by the Assistive Technology Act Technical Assistance and Training (AT3) Center funded by Grant #90ATTA0001-01-00 from the Administration for Community Living (ACL). Any opinions reflected herein are solely the responsibility of the authors and do not necessarily represent the official views of ACL.</w:t>
      </w:r>
    </w:p>
    <w:p w14:paraId="16AAC69E" w14:textId="66786562" w:rsidR="005178D9" w:rsidRDefault="0066006F" w:rsidP="0066006F">
      <w:pPr>
        <w:spacing w:after="0" w:line="240" w:lineRule="auto"/>
        <w:jc w:val="right"/>
        <w:rPr>
          <w:b/>
          <w:u w:val="single"/>
        </w:rPr>
      </w:pPr>
      <w:r w:rsidRPr="0066006F">
        <w:rPr>
          <w:rFonts w:cs="Myriad Pro"/>
          <w:i/>
          <w:color w:val="000000"/>
          <w:sz w:val="16"/>
          <w:szCs w:val="16"/>
        </w:rPr>
        <w:t xml:space="preserve"> Last updated March 2017 - </w:t>
      </w:r>
      <w:hyperlink r:id="rId8" w:history="1">
        <w:r w:rsidRPr="0066006F">
          <w:rPr>
            <w:rFonts w:cs="Myriad Pro"/>
            <w:i/>
            <w:color w:val="0563C1" w:themeColor="hyperlink"/>
            <w:sz w:val="16"/>
            <w:szCs w:val="16"/>
            <w:u w:val="single"/>
          </w:rPr>
          <w:t>www.at3center.net</w:t>
        </w:r>
      </w:hyperlink>
    </w:p>
    <w:sectPr w:rsidR="005178D9" w:rsidSect="00017ABE">
      <w:headerReference w:type="default" r:id="rId9"/>
      <w:footerReference w:type="default" r:id="rId10"/>
      <w:pgSz w:w="12240" w:h="15840"/>
      <w:pgMar w:top="1440" w:right="1440" w:bottom="1440" w:left="1440" w:header="576"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D2EC0" w14:textId="77777777" w:rsidR="0061491D" w:rsidRDefault="0061491D" w:rsidP="00554245">
      <w:pPr>
        <w:spacing w:after="0" w:line="240" w:lineRule="auto"/>
      </w:pPr>
      <w:r>
        <w:separator/>
      </w:r>
    </w:p>
  </w:endnote>
  <w:endnote w:type="continuationSeparator" w:id="0">
    <w:p w14:paraId="148FD84D" w14:textId="77777777" w:rsidR="0061491D" w:rsidRDefault="0061491D" w:rsidP="0055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245750"/>
      <w:docPartObj>
        <w:docPartGallery w:val="Page Numbers (Bottom of Page)"/>
        <w:docPartUnique/>
      </w:docPartObj>
    </w:sdtPr>
    <w:sdtEndPr>
      <w:rPr>
        <w:noProof/>
        <w:sz w:val="16"/>
        <w:szCs w:val="16"/>
      </w:rPr>
    </w:sdtEndPr>
    <w:sdtContent>
      <w:p w14:paraId="21040112" w14:textId="77777777" w:rsidR="00017ABE" w:rsidRPr="00017ABE" w:rsidRDefault="00017ABE">
        <w:pPr>
          <w:pStyle w:val="Footer"/>
          <w:jc w:val="right"/>
          <w:rPr>
            <w:sz w:val="16"/>
            <w:szCs w:val="16"/>
          </w:rPr>
        </w:pPr>
        <w:r w:rsidRPr="00017ABE">
          <w:rPr>
            <w:sz w:val="16"/>
            <w:szCs w:val="16"/>
          </w:rPr>
          <w:fldChar w:fldCharType="begin"/>
        </w:r>
        <w:r w:rsidRPr="00017ABE">
          <w:rPr>
            <w:sz w:val="16"/>
            <w:szCs w:val="16"/>
          </w:rPr>
          <w:instrText xml:space="preserve"> PAGE   \* MERGEFORMAT </w:instrText>
        </w:r>
        <w:r w:rsidRPr="00017ABE">
          <w:rPr>
            <w:sz w:val="16"/>
            <w:szCs w:val="16"/>
          </w:rPr>
          <w:fldChar w:fldCharType="separate"/>
        </w:r>
        <w:r w:rsidR="00E85A05">
          <w:rPr>
            <w:noProof/>
            <w:sz w:val="16"/>
            <w:szCs w:val="16"/>
          </w:rPr>
          <w:t>3</w:t>
        </w:r>
        <w:r w:rsidRPr="00017ABE">
          <w:rPr>
            <w:noProof/>
            <w:sz w:val="16"/>
            <w:szCs w:val="16"/>
          </w:rPr>
          <w:fldChar w:fldCharType="end"/>
        </w:r>
      </w:p>
    </w:sdtContent>
  </w:sdt>
  <w:p w14:paraId="31A9C736" w14:textId="77777777" w:rsidR="00017ABE" w:rsidRDefault="00017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3284C" w14:textId="77777777" w:rsidR="0061491D" w:rsidRDefault="0061491D" w:rsidP="00554245">
      <w:pPr>
        <w:spacing w:after="0" w:line="240" w:lineRule="auto"/>
      </w:pPr>
      <w:r>
        <w:separator/>
      </w:r>
    </w:p>
  </w:footnote>
  <w:footnote w:type="continuationSeparator" w:id="0">
    <w:p w14:paraId="55FD3188" w14:textId="77777777" w:rsidR="0061491D" w:rsidRDefault="0061491D" w:rsidP="00554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9414" w14:textId="77777777" w:rsidR="00554245" w:rsidRDefault="00554245">
    <w:pPr>
      <w:pStyle w:val="Header"/>
    </w:pPr>
    <w:r w:rsidRPr="00D84935">
      <w:rPr>
        <w:noProof/>
      </w:rPr>
      <w:drawing>
        <wp:inline distT="0" distB="0" distL="0" distR="0" wp14:anchorId="13D6B609" wp14:editId="2F123DA1">
          <wp:extent cx="5943600" cy="992505"/>
          <wp:effectExtent l="0" t="0" r="0" b="0"/>
          <wp:docPr id="3" name="Picture 3" descr="Logo of the Assistive Technology Act Technical Assistance &amp; Training (AT3) Center" title="AT3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ane\Pictures\AT3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2505"/>
                  </a:xfrm>
                  <a:prstGeom prst="rect">
                    <a:avLst/>
                  </a:prstGeom>
                  <a:noFill/>
                  <a:ln>
                    <a:noFill/>
                  </a:ln>
                </pic:spPr>
              </pic:pic>
            </a:graphicData>
          </a:graphic>
        </wp:inline>
      </w:drawing>
    </w:r>
  </w:p>
  <w:p w14:paraId="4692AF9D" w14:textId="77777777" w:rsidR="00554245" w:rsidRDefault="005542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55D5"/>
    <w:multiLevelType w:val="hybridMultilevel"/>
    <w:tmpl w:val="4DF630BA"/>
    <w:lvl w:ilvl="0" w:tplc="B0227BF0">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B520C"/>
    <w:multiLevelType w:val="hybridMultilevel"/>
    <w:tmpl w:val="B006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D6"/>
    <w:rsid w:val="00017ABE"/>
    <w:rsid w:val="0009455A"/>
    <w:rsid w:val="000C62E9"/>
    <w:rsid w:val="001404D8"/>
    <w:rsid w:val="001715C2"/>
    <w:rsid w:val="001E08FF"/>
    <w:rsid w:val="00221E23"/>
    <w:rsid w:val="002A31C7"/>
    <w:rsid w:val="00302110"/>
    <w:rsid w:val="00344CF7"/>
    <w:rsid w:val="00380F4D"/>
    <w:rsid w:val="004375A7"/>
    <w:rsid w:val="004566A9"/>
    <w:rsid w:val="00473D68"/>
    <w:rsid w:val="004770FA"/>
    <w:rsid w:val="004967ED"/>
    <w:rsid w:val="004A51DF"/>
    <w:rsid w:val="004B47BF"/>
    <w:rsid w:val="004F5F7B"/>
    <w:rsid w:val="005178D9"/>
    <w:rsid w:val="00532A19"/>
    <w:rsid w:val="00550992"/>
    <w:rsid w:val="00554245"/>
    <w:rsid w:val="005D30B5"/>
    <w:rsid w:val="005F4A06"/>
    <w:rsid w:val="00600E4A"/>
    <w:rsid w:val="006044B4"/>
    <w:rsid w:val="0061491D"/>
    <w:rsid w:val="00632BD5"/>
    <w:rsid w:val="00646D27"/>
    <w:rsid w:val="0066006F"/>
    <w:rsid w:val="006819C3"/>
    <w:rsid w:val="0069368D"/>
    <w:rsid w:val="00793E39"/>
    <w:rsid w:val="007941FC"/>
    <w:rsid w:val="007D30C4"/>
    <w:rsid w:val="007D6DB6"/>
    <w:rsid w:val="00810C9D"/>
    <w:rsid w:val="00814CA9"/>
    <w:rsid w:val="008253D8"/>
    <w:rsid w:val="008A606E"/>
    <w:rsid w:val="008D0DE8"/>
    <w:rsid w:val="008D451D"/>
    <w:rsid w:val="008D7338"/>
    <w:rsid w:val="00923AAB"/>
    <w:rsid w:val="009428A2"/>
    <w:rsid w:val="00976438"/>
    <w:rsid w:val="00981CDB"/>
    <w:rsid w:val="0098440C"/>
    <w:rsid w:val="009E57B7"/>
    <w:rsid w:val="009E7EA4"/>
    <w:rsid w:val="00A13CCE"/>
    <w:rsid w:val="00A26297"/>
    <w:rsid w:val="00A36FE1"/>
    <w:rsid w:val="00A77023"/>
    <w:rsid w:val="00A974D1"/>
    <w:rsid w:val="00AA6F68"/>
    <w:rsid w:val="00AD400A"/>
    <w:rsid w:val="00AE528A"/>
    <w:rsid w:val="00AE669A"/>
    <w:rsid w:val="00B51590"/>
    <w:rsid w:val="00B5372B"/>
    <w:rsid w:val="00B5698D"/>
    <w:rsid w:val="00B92E6D"/>
    <w:rsid w:val="00BD2776"/>
    <w:rsid w:val="00BE6037"/>
    <w:rsid w:val="00C007D6"/>
    <w:rsid w:val="00C30FED"/>
    <w:rsid w:val="00C46854"/>
    <w:rsid w:val="00C543D5"/>
    <w:rsid w:val="00CB71D4"/>
    <w:rsid w:val="00CD2706"/>
    <w:rsid w:val="00CD389C"/>
    <w:rsid w:val="00CF252C"/>
    <w:rsid w:val="00D277A1"/>
    <w:rsid w:val="00D45A1F"/>
    <w:rsid w:val="00D4602B"/>
    <w:rsid w:val="00D616D4"/>
    <w:rsid w:val="00DA61F8"/>
    <w:rsid w:val="00DD281B"/>
    <w:rsid w:val="00E05864"/>
    <w:rsid w:val="00E13A1F"/>
    <w:rsid w:val="00E42929"/>
    <w:rsid w:val="00E56636"/>
    <w:rsid w:val="00E85A05"/>
    <w:rsid w:val="00F34D65"/>
    <w:rsid w:val="00F550EC"/>
    <w:rsid w:val="00F571E3"/>
    <w:rsid w:val="00F80CB4"/>
    <w:rsid w:val="00F8439F"/>
    <w:rsid w:val="00FA7D3D"/>
    <w:rsid w:val="00FB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85C49"/>
  <w15:chartTrackingRefBased/>
  <w15:docId w15:val="{73617627-33C2-40BC-BECD-222B3DF3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1B"/>
    <w:rPr>
      <w:sz w:val="22"/>
    </w:rPr>
  </w:style>
  <w:style w:type="paragraph" w:styleId="Heading1">
    <w:name w:val="heading 1"/>
    <w:basedOn w:val="Normal"/>
    <w:next w:val="Normal"/>
    <w:link w:val="Heading1Char"/>
    <w:uiPriority w:val="9"/>
    <w:qFormat/>
    <w:rsid w:val="00456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21E23"/>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00E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62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F4D"/>
    <w:rPr>
      <w:color w:val="0563C1" w:themeColor="hyperlink"/>
      <w:u w:val="single"/>
    </w:rPr>
  </w:style>
  <w:style w:type="paragraph" w:styleId="BodyText">
    <w:name w:val="Body Text"/>
    <w:basedOn w:val="Normal"/>
    <w:link w:val="BodyTextChar"/>
    <w:uiPriority w:val="99"/>
    <w:semiHidden/>
    <w:unhideWhenUsed/>
    <w:rsid w:val="00550992"/>
    <w:pPr>
      <w:spacing w:after="120"/>
    </w:pPr>
  </w:style>
  <w:style w:type="character" w:customStyle="1" w:styleId="BodyTextChar">
    <w:name w:val="Body Text Char"/>
    <w:basedOn w:val="DefaultParagraphFont"/>
    <w:link w:val="BodyText"/>
    <w:uiPriority w:val="99"/>
    <w:semiHidden/>
    <w:rsid w:val="00550992"/>
  </w:style>
  <w:style w:type="paragraph" w:styleId="BodyTextFirstIndent">
    <w:name w:val="Body Text First Indent"/>
    <w:basedOn w:val="BodyText"/>
    <w:link w:val="BodyTextFirstIndentChar"/>
    <w:uiPriority w:val="99"/>
    <w:semiHidden/>
    <w:unhideWhenUsed/>
    <w:rsid w:val="00550992"/>
    <w:pPr>
      <w:spacing w:after="160"/>
      <w:ind w:firstLine="360"/>
    </w:pPr>
  </w:style>
  <w:style w:type="character" w:customStyle="1" w:styleId="BodyTextFirstIndentChar">
    <w:name w:val="Body Text First Indent Char"/>
    <w:basedOn w:val="BodyTextChar"/>
    <w:link w:val="BodyTextFirstIndent"/>
    <w:uiPriority w:val="99"/>
    <w:semiHidden/>
    <w:rsid w:val="00550992"/>
  </w:style>
  <w:style w:type="character" w:styleId="FollowedHyperlink">
    <w:name w:val="FollowedHyperlink"/>
    <w:basedOn w:val="DefaultParagraphFont"/>
    <w:uiPriority w:val="99"/>
    <w:semiHidden/>
    <w:unhideWhenUsed/>
    <w:rsid w:val="00BD2776"/>
    <w:rPr>
      <w:color w:val="954F72" w:themeColor="followedHyperlink"/>
      <w:u w:val="single"/>
    </w:rPr>
  </w:style>
  <w:style w:type="character" w:customStyle="1" w:styleId="Heading1Char">
    <w:name w:val="Heading 1 Char"/>
    <w:basedOn w:val="DefaultParagraphFont"/>
    <w:link w:val="Heading1"/>
    <w:uiPriority w:val="9"/>
    <w:rsid w:val="00456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E23"/>
    <w:rPr>
      <w:rFonts w:eastAsiaTheme="majorEastAsia" w:cstheme="majorBidi"/>
      <w:b/>
      <w:sz w:val="24"/>
      <w:szCs w:val="26"/>
    </w:rPr>
  </w:style>
  <w:style w:type="paragraph" w:styleId="Header">
    <w:name w:val="header"/>
    <w:basedOn w:val="Normal"/>
    <w:link w:val="HeaderChar"/>
    <w:uiPriority w:val="99"/>
    <w:unhideWhenUsed/>
    <w:rsid w:val="00554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45"/>
  </w:style>
  <w:style w:type="paragraph" w:styleId="Footer">
    <w:name w:val="footer"/>
    <w:basedOn w:val="Normal"/>
    <w:link w:val="FooterChar"/>
    <w:uiPriority w:val="99"/>
    <w:unhideWhenUsed/>
    <w:rsid w:val="0055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45"/>
  </w:style>
  <w:style w:type="paragraph" w:styleId="ListParagraph">
    <w:name w:val="List Paragraph"/>
    <w:basedOn w:val="Normal"/>
    <w:uiPriority w:val="34"/>
    <w:qFormat/>
    <w:rsid w:val="008A606E"/>
    <w:pPr>
      <w:ind w:left="720"/>
      <w:contextualSpacing/>
    </w:pPr>
  </w:style>
  <w:style w:type="character" w:styleId="CommentReference">
    <w:name w:val="annotation reference"/>
    <w:basedOn w:val="DefaultParagraphFont"/>
    <w:uiPriority w:val="99"/>
    <w:semiHidden/>
    <w:unhideWhenUsed/>
    <w:rsid w:val="00600E4A"/>
    <w:rPr>
      <w:sz w:val="16"/>
      <w:szCs w:val="16"/>
    </w:rPr>
  </w:style>
  <w:style w:type="paragraph" w:styleId="CommentText">
    <w:name w:val="annotation text"/>
    <w:basedOn w:val="Normal"/>
    <w:link w:val="CommentTextChar"/>
    <w:uiPriority w:val="99"/>
    <w:semiHidden/>
    <w:unhideWhenUsed/>
    <w:rsid w:val="00600E4A"/>
    <w:pPr>
      <w:spacing w:line="240" w:lineRule="auto"/>
    </w:pPr>
    <w:rPr>
      <w:sz w:val="20"/>
      <w:szCs w:val="20"/>
    </w:rPr>
  </w:style>
  <w:style w:type="character" w:customStyle="1" w:styleId="CommentTextChar">
    <w:name w:val="Comment Text Char"/>
    <w:basedOn w:val="DefaultParagraphFont"/>
    <w:link w:val="CommentText"/>
    <w:uiPriority w:val="99"/>
    <w:semiHidden/>
    <w:rsid w:val="00600E4A"/>
    <w:rPr>
      <w:sz w:val="20"/>
      <w:szCs w:val="20"/>
    </w:rPr>
  </w:style>
  <w:style w:type="paragraph" w:styleId="CommentSubject">
    <w:name w:val="annotation subject"/>
    <w:basedOn w:val="CommentText"/>
    <w:next w:val="CommentText"/>
    <w:link w:val="CommentSubjectChar"/>
    <w:uiPriority w:val="99"/>
    <w:semiHidden/>
    <w:unhideWhenUsed/>
    <w:rsid w:val="00600E4A"/>
    <w:rPr>
      <w:b/>
      <w:bCs/>
    </w:rPr>
  </w:style>
  <w:style w:type="character" w:customStyle="1" w:styleId="CommentSubjectChar">
    <w:name w:val="Comment Subject Char"/>
    <w:basedOn w:val="CommentTextChar"/>
    <w:link w:val="CommentSubject"/>
    <w:uiPriority w:val="99"/>
    <w:semiHidden/>
    <w:rsid w:val="00600E4A"/>
    <w:rPr>
      <w:b/>
      <w:bCs/>
      <w:sz w:val="20"/>
      <w:szCs w:val="20"/>
    </w:rPr>
  </w:style>
  <w:style w:type="paragraph" w:styleId="Revision">
    <w:name w:val="Revision"/>
    <w:hidden/>
    <w:uiPriority w:val="99"/>
    <w:semiHidden/>
    <w:rsid w:val="00600E4A"/>
    <w:pPr>
      <w:spacing w:after="0" w:line="240" w:lineRule="auto"/>
    </w:pPr>
  </w:style>
  <w:style w:type="paragraph" w:styleId="BalloonText">
    <w:name w:val="Balloon Text"/>
    <w:basedOn w:val="Normal"/>
    <w:link w:val="BalloonTextChar"/>
    <w:uiPriority w:val="99"/>
    <w:semiHidden/>
    <w:unhideWhenUsed/>
    <w:rsid w:val="00600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4A"/>
    <w:rPr>
      <w:rFonts w:ascii="Segoe UI" w:hAnsi="Segoe UI" w:cs="Segoe UI"/>
      <w:sz w:val="18"/>
      <w:szCs w:val="18"/>
    </w:rPr>
  </w:style>
  <w:style w:type="character" w:customStyle="1" w:styleId="Heading3Char">
    <w:name w:val="Heading 3 Char"/>
    <w:basedOn w:val="DefaultParagraphFont"/>
    <w:link w:val="Heading3"/>
    <w:uiPriority w:val="9"/>
    <w:rsid w:val="00600E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C62E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3center.net" TargetMode="External"/><Relationship Id="rId3" Type="http://schemas.openxmlformats.org/officeDocument/2006/relationships/settings" Target="settings.xml"/><Relationship Id="rId7" Type="http://schemas.openxmlformats.org/officeDocument/2006/relationships/hyperlink" Target="mailto:Kathy.laurn@atapor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klaurin</dc:creator>
  <cp:keywords/>
  <dc:description/>
  <cp:lastModifiedBy>Kathy</cp:lastModifiedBy>
  <cp:revision>2</cp:revision>
  <cp:lastPrinted>2017-03-13T18:23:00Z</cp:lastPrinted>
  <dcterms:created xsi:type="dcterms:W3CDTF">2017-04-03T13:42:00Z</dcterms:created>
  <dcterms:modified xsi:type="dcterms:W3CDTF">2017-04-03T13:42:00Z</dcterms:modified>
</cp:coreProperties>
</file>