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B6" w:rsidRPr="008A5442" w:rsidRDefault="008B6CB6" w:rsidP="00CF3A8C">
      <w:pPr>
        <w:jc w:val="center"/>
        <w:rPr>
          <w:rFonts w:ascii="Verdana" w:hAnsi="Verdana"/>
          <w:b/>
          <w:sz w:val="28"/>
          <w:szCs w:val="28"/>
        </w:rPr>
      </w:pPr>
      <w:r w:rsidRPr="008A5442">
        <w:rPr>
          <w:rFonts w:ascii="Verdana" w:hAnsi="Verdana"/>
          <w:noProof/>
        </w:rPr>
        <w:drawing>
          <wp:inline distT="0" distB="0" distL="0" distR="0" wp14:anchorId="69A2B392" wp14:editId="21CFE7DE">
            <wp:extent cx="5943145" cy="992505"/>
            <wp:effectExtent l="0" t="0" r="635" b="0"/>
            <wp:docPr id="2" name="Picture 2" descr="Logo of the Assistive Technology Act Technical Assistance &amp; Training (AT3) Center" title="AT3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AT3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100" cy="993333"/>
                    </a:xfrm>
                    <a:prstGeom prst="rect">
                      <a:avLst/>
                    </a:prstGeom>
                    <a:noFill/>
                    <a:ln>
                      <a:noFill/>
                    </a:ln>
                  </pic:spPr>
                </pic:pic>
              </a:graphicData>
            </a:graphic>
          </wp:inline>
        </w:drawing>
      </w:r>
      <w:r w:rsidR="005765E7" w:rsidRPr="005765E7">
        <w:rPr>
          <w:rFonts w:ascii="Verdana" w:hAnsi="Verdana"/>
          <w:sz w:val="28"/>
          <w:szCs w:val="28"/>
        </w:rPr>
        <w:t>Education Issue Brief for</w:t>
      </w:r>
      <w:r w:rsidR="00D0524B">
        <w:rPr>
          <w:rFonts w:ascii="Verdana" w:hAnsi="Verdana"/>
          <w:sz w:val="28"/>
          <w:szCs w:val="28"/>
        </w:rPr>
        <w:t xml:space="preserve"> State</w:t>
      </w:r>
      <w:r w:rsidR="005765E7" w:rsidRPr="005765E7">
        <w:rPr>
          <w:rFonts w:ascii="Verdana" w:hAnsi="Verdana"/>
          <w:sz w:val="28"/>
          <w:szCs w:val="28"/>
        </w:rPr>
        <w:t xml:space="preserve"> AT Programs</w:t>
      </w:r>
    </w:p>
    <w:p w:rsidR="00086CAD" w:rsidRPr="008A5442" w:rsidRDefault="00086CAD" w:rsidP="00CF3A8C">
      <w:pPr>
        <w:jc w:val="center"/>
        <w:rPr>
          <w:rFonts w:ascii="Verdana" w:hAnsi="Verdana"/>
          <w:b/>
          <w:sz w:val="28"/>
          <w:szCs w:val="28"/>
        </w:rPr>
      </w:pPr>
    </w:p>
    <w:p w:rsidR="00262D6D" w:rsidRPr="003822F0" w:rsidRDefault="003E522F" w:rsidP="003822F0">
      <w:pPr>
        <w:pStyle w:val="Heading1"/>
        <w:rPr>
          <w:rFonts w:ascii="Verdana" w:hAnsi="Verdana"/>
          <w:b/>
          <w:color w:val="auto"/>
          <w:sz w:val="28"/>
          <w:szCs w:val="28"/>
        </w:rPr>
      </w:pPr>
      <w:r w:rsidRPr="003822F0">
        <w:rPr>
          <w:rFonts w:ascii="Verdana" w:hAnsi="Verdana"/>
          <w:b/>
          <w:color w:val="auto"/>
          <w:sz w:val="28"/>
          <w:szCs w:val="28"/>
        </w:rPr>
        <w:t xml:space="preserve">Transfer of School-Purchased </w:t>
      </w:r>
      <w:r w:rsidR="00262D6D" w:rsidRPr="003822F0">
        <w:rPr>
          <w:rFonts w:ascii="Verdana" w:hAnsi="Verdana"/>
          <w:b/>
          <w:color w:val="auto"/>
          <w:sz w:val="28"/>
          <w:szCs w:val="28"/>
        </w:rPr>
        <w:t>Assistive Technology</w:t>
      </w:r>
      <w:r w:rsidRPr="003822F0">
        <w:rPr>
          <w:rFonts w:ascii="Verdana" w:hAnsi="Verdana"/>
          <w:b/>
          <w:color w:val="auto"/>
          <w:sz w:val="28"/>
          <w:szCs w:val="28"/>
        </w:rPr>
        <w:t xml:space="preserve"> Devices</w:t>
      </w:r>
    </w:p>
    <w:p w:rsidR="00262D6D" w:rsidRPr="008A5442" w:rsidRDefault="00262D6D" w:rsidP="00262D6D">
      <w:pPr>
        <w:rPr>
          <w:rFonts w:ascii="Verdana" w:hAnsi="Verdana"/>
          <w:sz w:val="22"/>
          <w:szCs w:val="22"/>
        </w:rPr>
      </w:pPr>
    </w:p>
    <w:p w:rsidR="006D7C27" w:rsidRPr="008A5442" w:rsidRDefault="0079092C" w:rsidP="00262D6D">
      <w:pPr>
        <w:rPr>
          <w:rFonts w:ascii="Verdana" w:hAnsi="Verdana"/>
          <w:sz w:val="22"/>
          <w:szCs w:val="22"/>
        </w:rPr>
      </w:pPr>
      <w:r w:rsidRPr="008A5442">
        <w:rPr>
          <w:rFonts w:ascii="Verdana" w:hAnsi="Verdana"/>
          <w:sz w:val="22"/>
          <w:szCs w:val="22"/>
        </w:rPr>
        <w:t xml:space="preserve">Allowing </w:t>
      </w:r>
      <w:r w:rsidR="006D7C27" w:rsidRPr="008A5442">
        <w:rPr>
          <w:rFonts w:ascii="Verdana" w:hAnsi="Verdana"/>
          <w:sz w:val="22"/>
          <w:szCs w:val="22"/>
        </w:rPr>
        <w:t xml:space="preserve">assistive technology </w:t>
      </w:r>
      <w:r w:rsidR="0000076B" w:rsidRPr="008A5442">
        <w:rPr>
          <w:rFonts w:ascii="Verdana" w:hAnsi="Verdana"/>
          <w:sz w:val="22"/>
          <w:szCs w:val="22"/>
        </w:rPr>
        <w:t>(AT)</w:t>
      </w:r>
      <w:r w:rsidR="00781B01" w:rsidRPr="008A5442">
        <w:rPr>
          <w:rFonts w:ascii="Verdana" w:hAnsi="Verdana"/>
          <w:sz w:val="22"/>
          <w:szCs w:val="22"/>
        </w:rPr>
        <w:t xml:space="preserve"> devices purchased by public school districts</w:t>
      </w:r>
      <w:r w:rsidR="0000076B" w:rsidRPr="008A5442">
        <w:rPr>
          <w:rFonts w:ascii="Verdana" w:hAnsi="Verdana"/>
          <w:sz w:val="22"/>
          <w:szCs w:val="22"/>
        </w:rPr>
        <w:t xml:space="preserve"> to </w:t>
      </w:r>
      <w:r w:rsidRPr="008A5442">
        <w:rPr>
          <w:rFonts w:ascii="Verdana" w:hAnsi="Verdana"/>
          <w:sz w:val="22"/>
          <w:szCs w:val="22"/>
        </w:rPr>
        <w:t xml:space="preserve">follow students to </w:t>
      </w:r>
      <w:r w:rsidR="0000076B" w:rsidRPr="008A5442">
        <w:rPr>
          <w:rFonts w:ascii="Verdana" w:hAnsi="Verdana"/>
          <w:sz w:val="22"/>
          <w:szCs w:val="22"/>
        </w:rPr>
        <w:t>settings</w:t>
      </w:r>
      <w:r w:rsidR="003E522F" w:rsidRPr="008A5442">
        <w:rPr>
          <w:rFonts w:ascii="Verdana" w:hAnsi="Verdana"/>
          <w:sz w:val="22"/>
          <w:szCs w:val="22"/>
        </w:rPr>
        <w:t xml:space="preserve"> after graduation</w:t>
      </w:r>
      <w:r w:rsidR="0000076B" w:rsidRPr="008A5442">
        <w:rPr>
          <w:rFonts w:ascii="Verdana" w:hAnsi="Verdana"/>
          <w:sz w:val="22"/>
          <w:szCs w:val="22"/>
        </w:rPr>
        <w:t xml:space="preserve"> (higher education, vocational </w:t>
      </w:r>
      <w:r w:rsidR="008B6CB6" w:rsidRPr="008A5442">
        <w:rPr>
          <w:rFonts w:ascii="Verdana" w:hAnsi="Verdana"/>
          <w:sz w:val="22"/>
          <w:szCs w:val="22"/>
        </w:rPr>
        <w:t>training</w:t>
      </w:r>
      <w:r w:rsidR="0000076B" w:rsidRPr="008A5442">
        <w:rPr>
          <w:rFonts w:ascii="Verdana" w:hAnsi="Verdana"/>
          <w:sz w:val="22"/>
          <w:szCs w:val="22"/>
        </w:rPr>
        <w:t xml:space="preserve">, employment, etc.) has </w:t>
      </w:r>
      <w:r w:rsidR="00E95EF3" w:rsidRPr="008A5442">
        <w:rPr>
          <w:rFonts w:ascii="Verdana" w:hAnsi="Verdana"/>
          <w:sz w:val="22"/>
          <w:szCs w:val="22"/>
        </w:rPr>
        <w:t xml:space="preserve">long </w:t>
      </w:r>
      <w:r w:rsidR="0000076B" w:rsidRPr="008A5442">
        <w:rPr>
          <w:rFonts w:ascii="Verdana" w:hAnsi="Verdana"/>
          <w:sz w:val="22"/>
          <w:szCs w:val="22"/>
        </w:rPr>
        <w:t xml:space="preserve">been a </w:t>
      </w:r>
      <w:r w:rsidR="00E95EF3" w:rsidRPr="008A5442">
        <w:rPr>
          <w:rFonts w:ascii="Verdana" w:hAnsi="Verdana"/>
          <w:sz w:val="22"/>
          <w:szCs w:val="22"/>
        </w:rPr>
        <w:t xml:space="preserve">desirable policy/practice </w:t>
      </w:r>
      <w:r w:rsidR="00781B01" w:rsidRPr="008A5442">
        <w:rPr>
          <w:rFonts w:ascii="Verdana" w:hAnsi="Verdana"/>
          <w:sz w:val="22"/>
          <w:szCs w:val="22"/>
        </w:rPr>
        <w:t xml:space="preserve">but one </w:t>
      </w:r>
      <w:r w:rsidR="00E95EF3" w:rsidRPr="008A5442">
        <w:rPr>
          <w:rFonts w:ascii="Verdana" w:hAnsi="Verdana"/>
          <w:sz w:val="22"/>
          <w:szCs w:val="22"/>
        </w:rPr>
        <w:t xml:space="preserve">that has proven difficult to achieve.  </w:t>
      </w:r>
      <w:r w:rsidR="0000076B" w:rsidRPr="008A5442">
        <w:rPr>
          <w:rFonts w:ascii="Verdana" w:hAnsi="Verdana"/>
          <w:sz w:val="22"/>
          <w:szCs w:val="22"/>
        </w:rPr>
        <w:t xml:space="preserve">This document </w:t>
      </w:r>
      <w:r w:rsidR="00781B01" w:rsidRPr="008A5442">
        <w:rPr>
          <w:rFonts w:ascii="Verdana" w:hAnsi="Verdana"/>
          <w:sz w:val="22"/>
          <w:szCs w:val="22"/>
        </w:rPr>
        <w:t xml:space="preserve">applies to devices purchased by schools </w:t>
      </w:r>
      <w:r w:rsidR="009C4EFB" w:rsidRPr="008A5442">
        <w:rPr>
          <w:rFonts w:ascii="Verdana" w:hAnsi="Verdana"/>
          <w:sz w:val="22"/>
          <w:szCs w:val="22"/>
        </w:rPr>
        <w:t>(with the assumption that federal funds were used).  A</w:t>
      </w:r>
      <w:r w:rsidR="00E95EF3" w:rsidRPr="008A5442">
        <w:rPr>
          <w:rFonts w:ascii="Verdana" w:hAnsi="Verdana"/>
          <w:sz w:val="22"/>
          <w:szCs w:val="22"/>
        </w:rPr>
        <w:t xml:space="preserve"> review</w:t>
      </w:r>
      <w:r w:rsidR="00781B01" w:rsidRPr="008A5442">
        <w:rPr>
          <w:rFonts w:ascii="Verdana" w:hAnsi="Verdana"/>
          <w:sz w:val="22"/>
          <w:szCs w:val="22"/>
        </w:rPr>
        <w:t xml:space="preserve"> of </w:t>
      </w:r>
      <w:r w:rsidR="0000076B" w:rsidRPr="008A5442">
        <w:rPr>
          <w:rFonts w:ascii="Verdana" w:hAnsi="Verdana"/>
          <w:sz w:val="22"/>
          <w:szCs w:val="22"/>
        </w:rPr>
        <w:t xml:space="preserve">federal </w:t>
      </w:r>
      <w:r w:rsidR="006D7C27" w:rsidRPr="008A5442">
        <w:rPr>
          <w:rFonts w:ascii="Verdana" w:hAnsi="Verdana"/>
          <w:sz w:val="22"/>
          <w:szCs w:val="22"/>
        </w:rPr>
        <w:t xml:space="preserve">policies </w:t>
      </w:r>
      <w:r w:rsidR="0000076B" w:rsidRPr="008A5442">
        <w:rPr>
          <w:rFonts w:ascii="Verdana" w:hAnsi="Verdana"/>
          <w:sz w:val="22"/>
          <w:szCs w:val="22"/>
        </w:rPr>
        <w:t xml:space="preserve">related to </w:t>
      </w:r>
      <w:r w:rsidR="006D7C27" w:rsidRPr="008A5442">
        <w:rPr>
          <w:rFonts w:ascii="Verdana" w:hAnsi="Verdana"/>
          <w:sz w:val="22"/>
          <w:szCs w:val="22"/>
        </w:rPr>
        <w:t>tra</w:t>
      </w:r>
      <w:r w:rsidR="00781B01" w:rsidRPr="008A5442">
        <w:rPr>
          <w:rFonts w:ascii="Verdana" w:hAnsi="Verdana"/>
          <w:sz w:val="22"/>
          <w:szCs w:val="22"/>
        </w:rPr>
        <w:t>nsferring</w:t>
      </w:r>
      <w:r w:rsidR="006D7C27" w:rsidRPr="008A5442">
        <w:rPr>
          <w:rFonts w:ascii="Verdana" w:hAnsi="Verdana"/>
          <w:sz w:val="22"/>
          <w:szCs w:val="22"/>
        </w:rPr>
        <w:t xml:space="preserve"> </w:t>
      </w:r>
      <w:r w:rsidR="0000076B" w:rsidRPr="008A5442">
        <w:rPr>
          <w:rFonts w:ascii="Verdana" w:hAnsi="Verdana"/>
          <w:sz w:val="22"/>
          <w:szCs w:val="22"/>
        </w:rPr>
        <w:t xml:space="preserve">AT </w:t>
      </w:r>
      <w:r w:rsidR="008B6CB6" w:rsidRPr="008A5442">
        <w:rPr>
          <w:rFonts w:ascii="Verdana" w:hAnsi="Verdana"/>
          <w:sz w:val="22"/>
          <w:szCs w:val="22"/>
        </w:rPr>
        <w:t xml:space="preserve">devices </w:t>
      </w:r>
      <w:r w:rsidR="006D7C27" w:rsidRPr="008A5442">
        <w:rPr>
          <w:rFonts w:ascii="Verdana" w:hAnsi="Verdana"/>
          <w:sz w:val="22"/>
          <w:szCs w:val="22"/>
        </w:rPr>
        <w:t>from school to post-s</w:t>
      </w:r>
      <w:r w:rsidR="006912B5" w:rsidRPr="008A5442">
        <w:rPr>
          <w:rFonts w:ascii="Verdana" w:hAnsi="Verdana"/>
          <w:sz w:val="22"/>
          <w:szCs w:val="22"/>
        </w:rPr>
        <w:t xml:space="preserve">chool </w:t>
      </w:r>
      <w:r w:rsidR="006D7C27" w:rsidRPr="008A5442">
        <w:rPr>
          <w:rFonts w:ascii="Verdana" w:hAnsi="Verdana"/>
          <w:sz w:val="22"/>
          <w:szCs w:val="22"/>
        </w:rPr>
        <w:t>setting</w:t>
      </w:r>
      <w:r w:rsidR="0000076B" w:rsidRPr="008A5442">
        <w:rPr>
          <w:rFonts w:ascii="Verdana" w:hAnsi="Verdana"/>
          <w:sz w:val="22"/>
          <w:szCs w:val="22"/>
        </w:rPr>
        <w:t>s</w:t>
      </w:r>
      <w:r w:rsidR="00781B01" w:rsidRPr="008A5442">
        <w:rPr>
          <w:rFonts w:ascii="Verdana" w:hAnsi="Verdana"/>
          <w:sz w:val="22"/>
          <w:szCs w:val="22"/>
        </w:rPr>
        <w:t xml:space="preserve"> for transitioning students</w:t>
      </w:r>
      <w:r w:rsidR="00E95EF3" w:rsidRPr="008A5442">
        <w:rPr>
          <w:rFonts w:ascii="Verdana" w:hAnsi="Verdana"/>
          <w:sz w:val="22"/>
          <w:szCs w:val="22"/>
        </w:rPr>
        <w:t xml:space="preserve">, </w:t>
      </w:r>
      <w:r w:rsidR="0000076B" w:rsidRPr="008A5442">
        <w:rPr>
          <w:rFonts w:ascii="Verdana" w:hAnsi="Verdana"/>
          <w:sz w:val="22"/>
          <w:szCs w:val="22"/>
        </w:rPr>
        <w:t xml:space="preserve">an overview of </w:t>
      </w:r>
      <w:r w:rsidR="00E95EF3" w:rsidRPr="008A5442">
        <w:rPr>
          <w:rFonts w:ascii="Verdana" w:hAnsi="Verdana"/>
          <w:sz w:val="22"/>
          <w:szCs w:val="22"/>
        </w:rPr>
        <w:t xml:space="preserve">state/local policies and programs </w:t>
      </w:r>
      <w:r w:rsidR="0000076B" w:rsidRPr="008A5442">
        <w:rPr>
          <w:rFonts w:ascii="Verdana" w:hAnsi="Verdana"/>
          <w:sz w:val="22"/>
          <w:szCs w:val="22"/>
        </w:rPr>
        <w:t xml:space="preserve">that have been implemented </w:t>
      </w:r>
      <w:r w:rsidR="00BC29A2" w:rsidRPr="008A5442">
        <w:rPr>
          <w:rFonts w:ascii="Verdana" w:hAnsi="Verdana"/>
          <w:sz w:val="22"/>
          <w:szCs w:val="22"/>
        </w:rPr>
        <w:t xml:space="preserve">to </w:t>
      </w:r>
      <w:r w:rsidR="0000076B" w:rsidRPr="008A5442">
        <w:rPr>
          <w:rFonts w:ascii="Verdana" w:hAnsi="Verdana"/>
          <w:sz w:val="22"/>
          <w:szCs w:val="22"/>
        </w:rPr>
        <w:t>support such equipment transfer</w:t>
      </w:r>
      <w:r w:rsidR="00E95EF3" w:rsidRPr="008A5442">
        <w:rPr>
          <w:rFonts w:ascii="Verdana" w:hAnsi="Verdana"/>
          <w:sz w:val="22"/>
          <w:szCs w:val="22"/>
        </w:rPr>
        <w:t xml:space="preserve"> and a discussion of options that might be considered to </w:t>
      </w:r>
      <w:r w:rsidR="00BC29A2" w:rsidRPr="008A5442">
        <w:rPr>
          <w:rFonts w:ascii="Verdana" w:hAnsi="Verdana"/>
          <w:sz w:val="22"/>
          <w:szCs w:val="22"/>
        </w:rPr>
        <w:t xml:space="preserve">facilitate </w:t>
      </w:r>
      <w:r w:rsidR="00E95EF3" w:rsidRPr="008A5442">
        <w:rPr>
          <w:rFonts w:ascii="Verdana" w:hAnsi="Verdana"/>
          <w:sz w:val="22"/>
          <w:szCs w:val="22"/>
        </w:rPr>
        <w:t>equipment transfer</w:t>
      </w:r>
      <w:r w:rsidR="002003AA" w:rsidRPr="008A5442">
        <w:rPr>
          <w:rFonts w:ascii="Verdana" w:hAnsi="Verdana"/>
          <w:sz w:val="22"/>
          <w:szCs w:val="22"/>
        </w:rPr>
        <w:t xml:space="preserve"> for transitioning students</w:t>
      </w:r>
      <w:r w:rsidR="009C4EFB" w:rsidRPr="008A5442">
        <w:rPr>
          <w:rFonts w:ascii="Verdana" w:hAnsi="Verdana"/>
          <w:sz w:val="22"/>
          <w:szCs w:val="22"/>
        </w:rPr>
        <w:t xml:space="preserve"> is provided</w:t>
      </w:r>
      <w:r w:rsidR="002003AA" w:rsidRPr="008A5442">
        <w:rPr>
          <w:rFonts w:ascii="Verdana" w:hAnsi="Verdana"/>
          <w:sz w:val="22"/>
          <w:szCs w:val="22"/>
        </w:rPr>
        <w:t>.</w:t>
      </w:r>
      <w:r w:rsidR="009C4EFB" w:rsidRPr="008A5442">
        <w:rPr>
          <w:rFonts w:ascii="Verdana" w:hAnsi="Verdana"/>
          <w:sz w:val="22"/>
          <w:szCs w:val="22"/>
        </w:rPr>
        <w:t xml:space="preserve">  Other funding sources (such as </w:t>
      </w:r>
      <w:r w:rsidR="00026B6B" w:rsidRPr="008A5442">
        <w:rPr>
          <w:rFonts w:ascii="Verdana" w:hAnsi="Verdana"/>
          <w:sz w:val="22"/>
          <w:szCs w:val="22"/>
        </w:rPr>
        <w:t xml:space="preserve">schools billing </w:t>
      </w:r>
      <w:r w:rsidR="009C4EFB" w:rsidRPr="008A5442">
        <w:rPr>
          <w:rFonts w:ascii="Verdana" w:hAnsi="Verdana"/>
          <w:sz w:val="22"/>
          <w:szCs w:val="22"/>
        </w:rPr>
        <w:t>Medicaid for AT devices) are not discussed, but remain important options to facilitate transfer of ownership.</w:t>
      </w:r>
    </w:p>
    <w:p w:rsidR="006D7C27" w:rsidRPr="008A5442" w:rsidRDefault="006D7C27" w:rsidP="00262D6D">
      <w:pPr>
        <w:rPr>
          <w:rFonts w:ascii="Verdana" w:hAnsi="Verdana"/>
          <w:sz w:val="22"/>
          <w:szCs w:val="22"/>
        </w:rPr>
      </w:pPr>
    </w:p>
    <w:p w:rsidR="00457541" w:rsidRPr="008A5442" w:rsidRDefault="00534910" w:rsidP="008B6CB6">
      <w:pPr>
        <w:pStyle w:val="Heading2"/>
        <w:rPr>
          <w:rFonts w:ascii="Verdana" w:hAnsi="Verdana"/>
          <w:b/>
          <w:color w:val="auto"/>
          <w:sz w:val="24"/>
          <w:szCs w:val="24"/>
        </w:rPr>
      </w:pPr>
      <w:r w:rsidRPr="008A5442">
        <w:rPr>
          <w:rFonts w:ascii="Verdana" w:hAnsi="Verdana"/>
          <w:b/>
          <w:color w:val="auto"/>
          <w:sz w:val="24"/>
          <w:szCs w:val="24"/>
        </w:rPr>
        <w:t xml:space="preserve">Federal </w:t>
      </w:r>
      <w:r w:rsidR="00791D9C" w:rsidRPr="008A5442">
        <w:rPr>
          <w:rFonts w:ascii="Verdana" w:hAnsi="Verdana"/>
          <w:b/>
          <w:color w:val="auto"/>
          <w:sz w:val="24"/>
          <w:szCs w:val="24"/>
        </w:rPr>
        <w:t xml:space="preserve">Equipment Disposition </w:t>
      </w:r>
      <w:r w:rsidR="00ED3E6A" w:rsidRPr="008A5442">
        <w:rPr>
          <w:rFonts w:ascii="Verdana" w:hAnsi="Verdana"/>
          <w:b/>
          <w:color w:val="auto"/>
          <w:sz w:val="24"/>
          <w:szCs w:val="24"/>
        </w:rPr>
        <w:t xml:space="preserve">Policy </w:t>
      </w:r>
    </w:p>
    <w:p w:rsidR="0006599C" w:rsidRPr="008A5442" w:rsidRDefault="006D7C27" w:rsidP="0006599C">
      <w:pPr>
        <w:rPr>
          <w:rFonts w:ascii="Verdana" w:eastAsiaTheme="minorHAnsi" w:hAnsi="Verdana" w:cs="Arial"/>
          <w:sz w:val="22"/>
          <w:szCs w:val="22"/>
        </w:rPr>
      </w:pPr>
      <w:r w:rsidRPr="008A5442">
        <w:rPr>
          <w:rFonts w:ascii="Verdana" w:hAnsi="Verdana"/>
          <w:sz w:val="22"/>
          <w:szCs w:val="22"/>
        </w:rPr>
        <w:t xml:space="preserve">The controlling federal policy for equipment disposition is </w:t>
      </w:r>
      <w:r w:rsidR="00DA5C00" w:rsidRPr="008A5442">
        <w:rPr>
          <w:rFonts w:ascii="Verdana" w:hAnsi="Verdana"/>
          <w:sz w:val="22"/>
          <w:szCs w:val="22"/>
        </w:rPr>
        <w:t xml:space="preserve">found in </w:t>
      </w:r>
      <w:r w:rsidRPr="008A5442">
        <w:rPr>
          <w:rFonts w:ascii="Verdana" w:hAnsi="Verdana"/>
          <w:sz w:val="22"/>
          <w:szCs w:val="22"/>
        </w:rPr>
        <w:t>the Education Department General Administrative Regulations (</w:t>
      </w:r>
      <w:r w:rsidR="00262D6D" w:rsidRPr="008A5442">
        <w:rPr>
          <w:rFonts w:ascii="Verdana" w:hAnsi="Verdana"/>
          <w:sz w:val="22"/>
          <w:szCs w:val="22"/>
        </w:rPr>
        <w:t>EDGAR</w:t>
      </w:r>
      <w:r w:rsidRPr="008A5442">
        <w:rPr>
          <w:rFonts w:ascii="Verdana" w:hAnsi="Verdana"/>
          <w:sz w:val="22"/>
          <w:szCs w:val="22"/>
        </w:rPr>
        <w:t xml:space="preserve">).  EDGAR </w:t>
      </w:r>
      <w:r w:rsidR="00262D6D" w:rsidRPr="008A5442">
        <w:rPr>
          <w:rFonts w:ascii="Verdana" w:hAnsi="Verdana"/>
          <w:sz w:val="22"/>
          <w:szCs w:val="22"/>
        </w:rPr>
        <w:t>require</w:t>
      </w:r>
      <w:r w:rsidR="00DA5C00" w:rsidRPr="008A5442">
        <w:rPr>
          <w:rFonts w:ascii="Verdana" w:hAnsi="Verdana"/>
          <w:sz w:val="22"/>
          <w:szCs w:val="22"/>
        </w:rPr>
        <w:t xml:space="preserve">ments for </w:t>
      </w:r>
      <w:r w:rsidR="00262D6D" w:rsidRPr="008A5442">
        <w:rPr>
          <w:rFonts w:ascii="Verdana" w:hAnsi="Verdana"/>
          <w:sz w:val="22"/>
          <w:szCs w:val="22"/>
        </w:rPr>
        <w:t>disposition of equipment have always allowed schools to transfer, or sell at fair market value, federally</w:t>
      </w:r>
      <w:r w:rsidR="00781B01" w:rsidRPr="008A5442">
        <w:rPr>
          <w:rFonts w:ascii="Verdana" w:hAnsi="Verdana"/>
          <w:sz w:val="22"/>
          <w:szCs w:val="22"/>
        </w:rPr>
        <w:t>-</w:t>
      </w:r>
      <w:r w:rsidR="004E57F8" w:rsidRPr="008A5442">
        <w:rPr>
          <w:rFonts w:ascii="Verdana" w:hAnsi="Verdana"/>
          <w:sz w:val="22"/>
          <w:szCs w:val="22"/>
        </w:rPr>
        <w:t>purchased equipment as</w:t>
      </w:r>
      <w:r w:rsidR="00262D6D" w:rsidRPr="008A5442">
        <w:rPr>
          <w:rFonts w:ascii="Verdana" w:hAnsi="Verdana"/>
          <w:sz w:val="22"/>
          <w:szCs w:val="22"/>
        </w:rPr>
        <w:t xml:space="preserve"> long as the equipment is “no longer needed”</w:t>
      </w:r>
      <w:r w:rsidR="00A375F9" w:rsidRPr="008A5442">
        <w:rPr>
          <w:rFonts w:ascii="Verdana" w:hAnsi="Verdana"/>
          <w:sz w:val="22"/>
          <w:szCs w:val="22"/>
        </w:rPr>
        <w:t xml:space="preserve"> and it is considered federally purchased “equipment”</w:t>
      </w:r>
      <w:r w:rsidR="00262D6D" w:rsidRPr="008A5442">
        <w:rPr>
          <w:rFonts w:ascii="Verdana" w:hAnsi="Verdana"/>
          <w:sz w:val="22"/>
          <w:szCs w:val="22"/>
        </w:rPr>
        <w:t xml:space="preserve">.  </w:t>
      </w:r>
      <w:r w:rsidR="00A375F9" w:rsidRPr="008A5442">
        <w:rPr>
          <w:rFonts w:ascii="Verdana" w:hAnsi="Verdana"/>
          <w:sz w:val="22"/>
          <w:szCs w:val="22"/>
        </w:rPr>
        <w:t xml:space="preserve">The specific </w:t>
      </w:r>
      <w:r w:rsidR="00D77E5A" w:rsidRPr="008A5442">
        <w:rPr>
          <w:rFonts w:ascii="Verdana" w:hAnsi="Verdana"/>
          <w:sz w:val="22"/>
          <w:szCs w:val="22"/>
        </w:rPr>
        <w:t xml:space="preserve">applicable </w:t>
      </w:r>
      <w:r w:rsidR="00A375F9" w:rsidRPr="008A5442">
        <w:rPr>
          <w:rFonts w:ascii="Verdana" w:hAnsi="Verdana"/>
          <w:sz w:val="22"/>
          <w:szCs w:val="22"/>
        </w:rPr>
        <w:t>EDGAR provisions are</w:t>
      </w:r>
      <w:r w:rsidR="002E6A46" w:rsidRPr="008A5442">
        <w:rPr>
          <w:rFonts w:ascii="Verdana" w:hAnsi="Verdana"/>
          <w:sz w:val="22"/>
          <w:szCs w:val="22"/>
        </w:rPr>
        <w:t xml:space="preserve"> those that define “equipment” (</w:t>
      </w:r>
      <w:r w:rsidR="002E6A46" w:rsidRPr="008A5442">
        <w:rPr>
          <w:rFonts w:ascii="Verdana" w:eastAsiaTheme="minorHAnsi" w:hAnsi="Verdana"/>
          <w:sz w:val="22"/>
          <w:szCs w:val="22"/>
        </w:rPr>
        <w:t>34 CFR 80.3 – Definitions) and further address the use (34 CFR 80.32 (c)) and disposition (34 CFFR 80.32 (e)) of equipment.</w:t>
      </w:r>
      <w:r w:rsidR="00264679" w:rsidRPr="008A5442">
        <w:rPr>
          <w:rFonts w:ascii="Verdana" w:eastAsiaTheme="minorHAnsi" w:hAnsi="Verdana"/>
          <w:sz w:val="22"/>
          <w:szCs w:val="22"/>
        </w:rPr>
        <w:t xml:space="preserve">  </w:t>
      </w:r>
      <w:r w:rsidR="00343F47" w:rsidRPr="008A5442">
        <w:rPr>
          <w:rFonts w:ascii="Verdana" w:eastAsiaTheme="minorHAnsi" w:hAnsi="Verdana" w:cs="Arial"/>
          <w:sz w:val="22"/>
          <w:szCs w:val="22"/>
        </w:rPr>
        <w:t>In summary, EDGAR indicates that when equipment has a fair market value of less than $5,000 (which would be the majority of AT devices</w:t>
      </w:r>
      <w:r w:rsidR="00FE2417">
        <w:rPr>
          <w:rFonts w:ascii="Verdana" w:eastAsiaTheme="minorHAnsi" w:hAnsi="Verdana" w:cs="Arial"/>
          <w:sz w:val="22"/>
          <w:szCs w:val="22"/>
        </w:rPr>
        <w:t xml:space="preserve"> purchased by schools</w:t>
      </w:r>
      <w:r w:rsidR="00343F47" w:rsidRPr="008A5442">
        <w:rPr>
          <w:rFonts w:ascii="Verdana" w:eastAsiaTheme="minorHAnsi" w:hAnsi="Verdana" w:cs="Arial"/>
          <w:sz w:val="22"/>
          <w:szCs w:val="22"/>
        </w:rPr>
        <w:t xml:space="preserve">) and is no longer needed by the school, it </w:t>
      </w:r>
      <w:r w:rsidR="00101C09" w:rsidRPr="003822F0">
        <w:rPr>
          <w:rFonts w:ascii="Verdana" w:eastAsiaTheme="minorHAnsi" w:hAnsi="Verdana" w:cs="Arial"/>
          <w:b/>
          <w:sz w:val="22"/>
          <w:szCs w:val="22"/>
        </w:rPr>
        <w:t>may</w:t>
      </w:r>
      <w:r w:rsidR="00101C09" w:rsidRPr="008A5442">
        <w:rPr>
          <w:rFonts w:ascii="Verdana" w:eastAsiaTheme="minorHAnsi" w:hAnsi="Verdana" w:cs="Arial"/>
          <w:sz w:val="22"/>
          <w:szCs w:val="22"/>
        </w:rPr>
        <w:t xml:space="preserve"> </w:t>
      </w:r>
      <w:r w:rsidR="00343F47" w:rsidRPr="008A5442">
        <w:rPr>
          <w:rFonts w:ascii="Verdana" w:eastAsiaTheme="minorHAnsi" w:hAnsi="Verdana" w:cs="Arial"/>
          <w:sz w:val="22"/>
          <w:szCs w:val="22"/>
        </w:rPr>
        <w:t xml:space="preserve">be transferred to post-secondary settings </w:t>
      </w:r>
      <w:r w:rsidR="00343F47" w:rsidRPr="003822F0">
        <w:rPr>
          <w:rFonts w:ascii="Verdana" w:eastAsiaTheme="minorHAnsi" w:hAnsi="Verdana" w:cs="Arial"/>
          <w:b/>
          <w:sz w:val="22"/>
          <w:szCs w:val="22"/>
        </w:rPr>
        <w:t>at the discretion of the school</w:t>
      </w:r>
      <w:r w:rsidR="00343F47" w:rsidRPr="008A5442">
        <w:rPr>
          <w:rFonts w:ascii="Verdana" w:eastAsiaTheme="minorHAnsi" w:hAnsi="Verdana" w:cs="Arial"/>
          <w:sz w:val="22"/>
          <w:szCs w:val="22"/>
        </w:rPr>
        <w:t>.  For items with a fair market value of more than $5,000 the transfer is more complicated but would not typically apply to most AT devices</w:t>
      </w:r>
      <w:r w:rsidR="003F0460">
        <w:rPr>
          <w:rFonts w:ascii="Verdana" w:eastAsiaTheme="minorHAnsi" w:hAnsi="Verdana" w:cs="Arial"/>
          <w:sz w:val="22"/>
          <w:szCs w:val="22"/>
        </w:rPr>
        <w:t xml:space="preserve"> purchased by schools</w:t>
      </w:r>
      <w:r w:rsidR="00343F47" w:rsidRPr="008A5442">
        <w:rPr>
          <w:rFonts w:ascii="Verdana" w:eastAsiaTheme="minorHAnsi" w:hAnsi="Verdana" w:cs="Arial"/>
          <w:sz w:val="22"/>
          <w:szCs w:val="22"/>
        </w:rPr>
        <w:t>.</w:t>
      </w:r>
    </w:p>
    <w:p w:rsidR="00343F47" w:rsidRPr="008A5442" w:rsidRDefault="0006599C" w:rsidP="0006599C">
      <w:pPr>
        <w:rPr>
          <w:rFonts w:ascii="Verdana" w:eastAsiaTheme="minorHAnsi" w:hAnsi="Verdana" w:cs="Arial"/>
          <w:sz w:val="22"/>
          <w:szCs w:val="22"/>
        </w:rPr>
      </w:pPr>
      <w:r w:rsidRPr="008A5442">
        <w:rPr>
          <w:rFonts w:ascii="Verdana" w:eastAsiaTheme="minorHAnsi" w:hAnsi="Verdana" w:cs="Arial"/>
          <w:sz w:val="22"/>
          <w:szCs w:val="22"/>
        </w:rPr>
        <w:t xml:space="preserve"> </w:t>
      </w:r>
    </w:p>
    <w:p w:rsidR="0006599C" w:rsidRPr="008A5442" w:rsidRDefault="00C1232D" w:rsidP="00262D6D">
      <w:pPr>
        <w:rPr>
          <w:rFonts w:ascii="Verdana" w:hAnsi="Verdana"/>
          <w:sz w:val="22"/>
          <w:szCs w:val="22"/>
        </w:rPr>
      </w:pPr>
      <w:r w:rsidRPr="008A5442">
        <w:rPr>
          <w:rFonts w:ascii="Verdana" w:hAnsi="Verdana"/>
          <w:sz w:val="22"/>
          <w:szCs w:val="22"/>
        </w:rPr>
        <w:t>In 1998</w:t>
      </w:r>
      <w:r w:rsidR="00262D6D" w:rsidRPr="008A5442">
        <w:rPr>
          <w:rFonts w:ascii="Verdana" w:hAnsi="Verdana"/>
          <w:sz w:val="22"/>
          <w:szCs w:val="22"/>
        </w:rPr>
        <w:t xml:space="preserve">, </w:t>
      </w:r>
      <w:r w:rsidR="00DA5C00" w:rsidRPr="008A5442">
        <w:rPr>
          <w:rFonts w:ascii="Verdana" w:hAnsi="Verdana"/>
          <w:sz w:val="22"/>
          <w:szCs w:val="22"/>
        </w:rPr>
        <w:t xml:space="preserve">the </w:t>
      </w:r>
      <w:r w:rsidR="00262D6D" w:rsidRPr="008A5442">
        <w:rPr>
          <w:rFonts w:ascii="Verdana" w:hAnsi="Verdana"/>
          <w:sz w:val="22"/>
          <w:szCs w:val="22"/>
        </w:rPr>
        <w:t>O</w:t>
      </w:r>
      <w:r w:rsidR="00DA5C00" w:rsidRPr="008A5442">
        <w:rPr>
          <w:rFonts w:ascii="Verdana" w:hAnsi="Verdana"/>
          <w:sz w:val="22"/>
          <w:szCs w:val="22"/>
        </w:rPr>
        <w:t xml:space="preserve">ffice </w:t>
      </w:r>
      <w:r w:rsidR="00C377B2" w:rsidRPr="008A5442">
        <w:rPr>
          <w:rFonts w:ascii="Verdana" w:hAnsi="Verdana"/>
          <w:sz w:val="22"/>
          <w:szCs w:val="22"/>
        </w:rPr>
        <w:t xml:space="preserve">of </w:t>
      </w:r>
      <w:r w:rsidR="00262D6D" w:rsidRPr="008A5442">
        <w:rPr>
          <w:rFonts w:ascii="Verdana" w:hAnsi="Verdana"/>
          <w:sz w:val="22"/>
          <w:szCs w:val="22"/>
        </w:rPr>
        <w:t>S</w:t>
      </w:r>
      <w:r w:rsidR="00C377B2" w:rsidRPr="008A5442">
        <w:rPr>
          <w:rFonts w:ascii="Verdana" w:hAnsi="Verdana"/>
          <w:sz w:val="22"/>
          <w:szCs w:val="22"/>
        </w:rPr>
        <w:t xml:space="preserve">pecial </w:t>
      </w:r>
      <w:r w:rsidR="00262D6D" w:rsidRPr="008A5442">
        <w:rPr>
          <w:rFonts w:ascii="Verdana" w:hAnsi="Verdana"/>
          <w:sz w:val="22"/>
          <w:szCs w:val="22"/>
        </w:rPr>
        <w:t>E</w:t>
      </w:r>
      <w:r w:rsidR="00C377B2" w:rsidRPr="008A5442">
        <w:rPr>
          <w:rFonts w:ascii="Verdana" w:hAnsi="Verdana"/>
          <w:sz w:val="22"/>
          <w:szCs w:val="22"/>
        </w:rPr>
        <w:t xml:space="preserve">ducation and </w:t>
      </w:r>
      <w:r w:rsidR="00262D6D" w:rsidRPr="008A5442">
        <w:rPr>
          <w:rFonts w:ascii="Verdana" w:hAnsi="Verdana"/>
          <w:sz w:val="22"/>
          <w:szCs w:val="22"/>
        </w:rPr>
        <w:t>R</w:t>
      </w:r>
      <w:r w:rsidR="00C377B2" w:rsidRPr="008A5442">
        <w:rPr>
          <w:rFonts w:ascii="Verdana" w:hAnsi="Verdana"/>
          <w:sz w:val="22"/>
          <w:szCs w:val="22"/>
        </w:rPr>
        <w:t xml:space="preserve">ehabilitative </w:t>
      </w:r>
      <w:r w:rsidR="00262D6D" w:rsidRPr="008A5442">
        <w:rPr>
          <w:rFonts w:ascii="Verdana" w:hAnsi="Verdana"/>
          <w:sz w:val="22"/>
          <w:szCs w:val="22"/>
        </w:rPr>
        <w:t>S</w:t>
      </w:r>
      <w:r w:rsidR="00C377B2" w:rsidRPr="008A5442">
        <w:rPr>
          <w:rFonts w:ascii="Verdana" w:hAnsi="Verdana"/>
          <w:sz w:val="22"/>
          <w:szCs w:val="22"/>
        </w:rPr>
        <w:t xml:space="preserve">ervices (OSERS) </w:t>
      </w:r>
      <w:r w:rsidR="00262D6D" w:rsidRPr="008A5442">
        <w:rPr>
          <w:rFonts w:ascii="Verdana" w:hAnsi="Verdana"/>
          <w:sz w:val="22"/>
          <w:szCs w:val="22"/>
        </w:rPr>
        <w:t>issue</w:t>
      </w:r>
      <w:r w:rsidR="00343F47" w:rsidRPr="008A5442">
        <w:rPr>
          <w:rFonts w:ascii="Verdana" w:hAnsi="Verdana"/>
          <w:sz w:val="22"/>
          <w:szCs w:val="22"/>
        </w:rPr>
        <w:t>d</w:t>
      </w:r>
      <w:r w:rsidR="00262D6D" w:rsidRPr="008A5442">
        <w:rPr>
          <w:rFonts w:ascii="Verdana" w:hAnsi="Verdana"/>
          <w:sz w:val="22"/>
          <w:szCs w:val="22"/>
        </w:rPr>
        <w:t xml:space="preserve"> a policy letter that attempted to </w:t>
      </w:r>
      <w:r w:rsidR="00343F47" w:rsidRPr="008A5442">
        <w:rPr>
          <w:rFonts w:ascii="Verdana" w:hAnsi="Verdana"/>
          <w:sz w:val="22"/>
          <w:szCs w:val="22"/>
        </w:rPr>
        <w:t>“</w:t>
      </w:r>
      <w:r w:rsidRPr="008A5442">
        <w:rPr>
          <w:rFonts w:ascii="Verdana" w:hAnsi="Verdana"/>
          <w:sz w:val="22"/>
          <w:szCs w:val="22"/>
        </w:rPr>
        <w:t>interpret</w:t>
      </w:r>
      <w:r w:rsidR="00343F47" w:rsidRPr="008A5442">
        <w:rPr>
          <w:rFonts w:ascii="Verdana" w:hAnsi="Verdana"/>
          <w:sz w:val="22"/>
          <w:szCs w:val="22"/>
        </w:rPr>
        <w:t xml:space="preserve">” </w:t>
      </w:r>
      <w:r w:rsidRPr="008A5442">
        <w:rPr>
          <w:rFonts w:ascii="Verdana" w:hAnsi="Verdana"/>
          <w:sz w:val="22"/>
          <w:szCs w:val="22"/>
        </w:rPr>
        <w:t xml:space="preserve">EDGAR </w:t>
      </w:r>
      <w:r w:rsidR="00343F47" w:rsidRPr="008A5442">
        <w:rPr>
          <w:rFonts w:ascii="Verdana" w:hAnsi="Verdana"/>
          <w:sz w:val="22"/>
          <w:szCs w:val="22"/>
        </w:rPr>
        <w:t xml:space="preserve">in a way that </w:t>
      </w:r>
      <w:r w:rsidRPr="008A5442">
        <w:rPr>
          <w:rFonts w:ascii="Verdana" w:hAnsi="Verdana"/>
          <w:sz w:val="22"/>
          <w:szCs w:val="22"/>
        </w:rPr>
        <w:t xml:space="preserve">would </w:t>
      </w:r>
      <w:r w:rsidR="00101C09" w:rsidRPr="008A5442">
        <w:rPr>
          <w:rFonts w:ascii="Verdana" w:hAnsi="Verdana"/>
          <w:sz w:val="22"/>
          <w:szCs w:val="22"/>
        </w:rPr>
        <w:t xml:space="preserve">encourage </w:t>
      </w:r>
      <w:r w:rsidR="00262D6D" w:rsidRPr="008A5442">
        <w:rPr>
          <w:rFonts w:ascii="Verdana" w:hAnsi="Verdana"/>
          <w:sz w:val="22"/>
          <w:szCs w:val="22"/>
        </w:rPr>
        <w:t>assistive technology equipment transfer from school to post</w:t>
      </w:r>
      <w:r w:rsidR="00781B01" w:rsidRPr="008A5442">
        <w:rPr>
          <w:rFonts w:ascii="Verdana" w:hAnsi="Verdana"/>
          <w:sz w:val="22"/>
          <w:szCs w:val="22"/>
        </w:rPr>
        <w:t>-s</w:t>
      </w:r>
      <w:r w:rsidR="00A64FD6" w:rsidRPr="008A5442">
        <w:rPr>
          <w:rFonts w:ascii="Verdana" w:hAnsi="Verdana"/>
          <w:sz w:val="22"/>
          <w:szCs w:val="22"/>
        </w:rPr>
        <w:t xml:space="preserve">econdary services provided by </w:t>
      </w:r>
      <w:r w:rsidR="00080BE7" w:rsidRPr="008A5442">
        <w:rPr>
          <w:rFonts w:ascii="Verdana" w:hAnsi="Verdana"/>
          <w:sz w:val="22"/>
          <w:szCs w:val="22"/>
        </w:rPr>
        <w:t>the state Vocational R</w:t>
      </w:r>
      <w:r w:rsidR="000A7B2D" w:rsidRPr="008A5442">
        <w:rPr>
          <w:rFonts w:ascii="Verdana" w:hAnsi="Verdana"/>
          <w:sz w:val="22"/>
          <w:szCs w:val="22"/>
        </w:rPr>
        <w:t>ehabilitation</w:t>
      </w:r>
      <w:r w:rsidR="00080BE7" w:rsidRPr="008A5442">
        <w:rPr>
          <w:rFonts w:ascii="Verdana" w:hAnsi="Verdana"/>
          <w:sz w:val="22"/>
          <w:szCs w:val="22"/>
        </w:rPr>
        <w:t xml:space="preserve"> (VR) agency</w:t>
      </w:r>
      <w:r w:rsidR="000A7B2D" w:rsidRPr="008A5442">
        <w:rPr>
          <w:rFonts w:ascii="Verdana" w:hAnsi="Verdana"/>
          <w:sz w:val="22"/>
          <w:szCs w:val="22"/>
        </w:rPr>
        <w:t xml:space="preserve">.  In that letter, the </w:t>
      </w:r>
      <w:r w:rsidR="00C377B2" w:rsidRPr="008A5442">
        <w:rPr>
          <w:rFonts w:ascii="Verdana" w:hAnsi="Verdana"/>
          <w:sz w:val="22"/>
          <w:szCs w:val="22"/>
        </w:rPr>
        <w:t xml:space="preserve">previously described </w:t>
      </w:r>
      <w:r w:rsidR="000A7B2D" w:rsidRPr="008A5442">
        <w:rPr>
          <w:rFonts w:ascii="Verdana" w:hAnsi="Verdana"/>
          <w:sz w:val="22"/>
          <w:szCs w:val="22"/>
        </w:rPr>
        <w:t xml:space="preserve">EDGAR provisions are reiterated and </w:t>
      </w:r>
      <w:r w:rsidR="00101C09" w:rsidRPr="008A5442">
        <w:rPr>
          <w:rFonts w:ascii="Verdana" w:hAnsi="Verdana"/>
          <w:sz w:val="22"/>
          <w:szCs w:val="22"/>
        </w:rPr>
        <w:t xml:space="preserve">asserted </w:t>
      </w:r>
      <w:r w:rsidR="000A7B2D" w:rsidRPr="008A5442">
        <w:rPr>
          <w:rFonts w:ascii="Verdana" w:hAnsi="Verdana"/>
          <w:sz w:val="22"/>
          <w:szCs w:val="22"/>
        </w:rPr>
        <w:t xml:space="preserve">two assumptions </w:t>
      </w:r>
      <w:r w:rsidR="00101C09" w:rsidRPr="008A5442">
        <w:rPr>
          <w:rFonts w:ascii="Verdana" w:hAnsi="Verdana"/>
          <w:sz w:val="22"/>
          <w:szCs w:val="22"/>
        </w:rPr>
        <w:t xml:space="preserve">as rationale for </w:t>
      </w:r>
      <w:r w:rsidR="00C377B2" w:rsidRPr="008A5442">
        <w:rPr>
          <w:rFonts w:ascii="Verdana" w:hAnsi="Verdana"/>
          <w:sz w:val="22"/>
          <w:szCs w:val="22"/>
        </w:rPr>
        <w:t xml:space="preserve">more routine </w:t>
      </w:r>
      <w:r w:rsidR="00101C09" w:rsidRPr="008A5442">
        <w:rPr>
          <w:rFonts w:ascii="Verdana" w:hAnsi="Verdana"/>
          <w:sz w:val="22"/>
          <w:szCs w:val="22"/>
        </w:rPr>
        <w:t xml:space="preserve">AT </w:t>
      </w:r>
      <w:r w:rsidR="00A64FD6" w:rsidRPr="008A5442">
        <w:rPr>
          <w:rFonts w:ascii="Verdana" w:hAnsi="Verdana"/>
          <w:sz w:val="22"/>
          <w:szCs w:val="22"/>
        </w:rPr>
        <w:t xml:space="preserve">equipment </w:t>
      </w:r>
      <w:r w:rsidR="000A7B2D" w:rsidRPr="008A5442">
        <w:rPr>
          <w:rFonts w:ascii="Verdana" w:hAnsi="Verdana"/>
          <w:sz w:val="22"/>
          <w:szCs w:val="22"/>
        </w:rPr>
        <w:t>transfer.</w:t>
      </w:r>
    </w:p>
    <w:p w:rsidR="000A7B2D" w:rsidRPr="008A5442" w:rsidRDefault="0006599C" w:rsidP="00262D6D">
      <w:pPr>
        <w:rPr>
          <w:rFonts w:ascii="Verdana" w:hAnsi="Verdana"/>
          <w:sz w:val="22"/>
          <w:szCs w:val="22"/>
        </w:rPr>
      </w:pPr>
      <w:r w:rsidRPr="008A5442">
        <w:rPr>
          <w:rFonts w:ascii="Verdana" w:hAnsi="Verdana"/>
          <w:sz w:val="22"/>
          <w:szCs w:val="22"/>
        </w:rPr>
        <w:t xml:space="preserve"> </w:t>
      </w:r>
    </w:p>
    <w:p w:rsidR="00BC3930" w:rsidRPr="008A5442" w:rsidRDefault="000A7B2D" w:rsidP="00C718D4">
      <w:pPr>
        <w:ind w:left="360"/>
        <w:rPr>
          <w:rFonts w:ascii="Verdana" w:hAnsi="Verdana"/>
          <w:sz w:val="22"/>
          <w:szCs w:val="22"/>
        </w:rPr>
      </w:pPr>
      <w:r w:rsidRPr="008A5442">
        <w:rPr>
          <w:rFonts w:ascii="Verdana" w:hAnsi="Verdana"/>
          <w:sz w:val="22"/>
          <w:szCs w:val="22"/>
        </w:rPr>
        <w:t xml:space="preserve">1)  The letter assumes that most assistive technology devices are purchased </w:t>
      </w:r>
      <w:r w:rsidRPr="003822F0">
        <w:rPr>
          <w:rFonts w:ascii="Verdana" w:hAnsi="Verdana"/>
          <w:b/>
          <w:sz w:val="22"/>
          <w:szCs w:val="22"/>
        </w:rPr>
        <w:t>for an individual student</w:t>
      </w:r>
      <w:r w:rsidRPr="008A5442">
        <w:rPr>
          <w:rFonts w:ascii="Verdana" w:hAnsi="Verdana"/>
          <w:sz w:val="22"/>
          <w:szCs w:val="22"/>
        </w:rPr>
        <w:t xml:space="preserve"> to use and “are </w:t>
      </w:r>
      <w:r w:rsidRPr="003822F0">
        <w:rPr>
          <w:rFonts w:ascii="Verdana" w:hAnsi="Verdana"/>
          <w:b/>
          <w:sz w:val="22"/>
          <w:szCs w:val="22"/>
        </w:rPr>
        <w:t>often</w:t>
      </w:r>
      <w:r w:rsidRPr="008A5442">
        <w:rPr>
          <w:rFonts w:ascii="Verdana" w:hAnsi="Verdana"/>
          <w:sz w:val="22"/>
          <w:szCs w:val="22"/>
        </w:rPr>
        <w:t xml:space="preserve"> </w:t>
      </w:r>
      <w:r w:rsidR="00262D6D" w:rsidRPr="008A5442">
        <w:rPr>
          <w:rFonts w:ascii="Verdana" w:hAnsi="Verdana"/>
          <w:sz w:val="22"/>
          <w:szCs w:val="22"/>
        </w:rPr>
        <w:t xml:space="preserve">customized or otherwise modified to suit the individual needs of a particular child with a disability, making it </w:t>
      </w:r>
      <w:r w:rsidRPr="003822F0">
        <w:rPr>
          <w:rFonts w:ascii="Verdana" w:hAnsi="Verdana"/>
          <w:b/>
          <w:sz w:val="22"/>
          <w:szCs w:val="22"/>
        </w:rPr>
        <w:t>unlikely</w:t>
      </w:r>
      <w:r w:rsidR="00262D6D" w:rsidRPr="008A5442">
        <w:rPr>
          <w:rFonts w:ascii="Verdana" w:hAnsi="Verdana"/>
          <w:sz w:val="22"/>
          <w:szCs w:val="22"/>
        </w:rPr>
        <w:t xml:space="preserve"> that the</w:t>
      </w:r>
      <w:r w:rsidR="00734CBB" w:rsidRPr="008A5442">
        <w:rPr>
          <w:rFonts w:ascii="Verdana" w:hAnsi="Verdana"/>
          <w:sz w:val="22"/>
          <w:szCs w:val="22"/>
        </w:rPr>
        <w:t xml:space="preserve"> local education agency (</w:t>
      </w:r>
      <w:r w:rsidR="00262D6D" w:rsidRPr="008A5442">
        <w:rPr>
          <w:rFonts w:ascii="Verdana" w:hAnsi="Verdana"/>
          <w:sz w:val="22"/>
          <w:szCs w:val="22"/>
        </w:rPr>
        <w:t>LEA</w:t>
      </w:r>
      <w:r w:rsidR="00734CBB" w:rsidRPr="008A5442">
        <w:rPr>
          <w:rFonts w:ascii="Verdana" w:hAnsi="Verdana"/>
          <w:sz w:val="22"/>
          <w:szCs w:val="22"/>
        </w:rPr>
        <w:t>)</w:t>
      </w:r>
      <w:r w:rsidR="00262D6D" w:rsidRPr="008A5442">
        <w:rPr>
          <w:rFonts w:ascii="Verdana" w:hAnsi="Verdana"/>
          <w:sz w:val="22"/>
          <w:szCs w:val="22"/>
        </w:rPr>
        <w:t xml:space="preserve"> would need the devi</w:t>
      </w:r>
      <w:r w:rsidRPr="008A5442">
        <w:rPr>
          <w:rFonts w:ascii="Verdana" w:hAnsi="Verdana"/>
          <w:sz w:val="22"/>
          <w:szCs w:val="22"/>
        </w:rPr>
        <w:t>ce on</w:t>
      </w:r>
      <w:r w:rsidR="00C02A2C">
        <w:rPr>
          <w:rFonts w:ascii="Verdana" w:hAnsi="Verdana"/>
          <w:sz w:val="22"/>
          <w:szCs w:val="22"/>
        </w:rPr>
        <w:t>c</w:t>
      </w:r>
      <w:r w:rsidRPr="008A5442">
        <w:rPr>
          <w:rFonts w:ascii="Verdana" w:hAnsi="Verdana"/>
          <w:sz w:val="22"/>
          <w:szCs w:val="22"/>
        </w:rPr>
        <w:t xml:space="preserve">e the </w:t>
      </w:r>
      <w:r w:rsidRPr="008A5442">
        <w:rPr>
          <w:rFonts w:ascii="Verdana" w:hAnsi="Verdana"/>
          <w:sz w:val="22"/>
          <w:szCs w:val="22"/>
        </w:rPr>
        <w:lastRenderedPageBreak/>
        <w:t xml:space="preserve">child leaves school.”   </w:t>
      </w:r>
      <w:r w:rsidR="00C64C5E" w:rsidRPr="008A5442">
        <w:rPr>
          <w:rFonts w:ascii="Verdana" w:hAnsi="Verdana"/>
          <w:sz w:val="22"/>
          <w:szCs w:val="22"/>
        </w:rPr>
        <w:t>However, e</w:t>
      </w:r>
      <w:r w:rsidRPr="008A5442">
        <w:rPr>
          <w:rFonts w:ascii="Verdana" w:hAnsi="Verdana"/>
          <w:sz w:val="22"/>
          <w:szCs w:val="22"/>
        </w:rPr>
        <w:t>xperience suggest</w:t>
      </w:r>
      <w:r w:rsidR="00C64C5E" w:rsidRPr="008A5442">
        <w:rPr>
          <w:rFonts w:ascii="Verdana" w:hAnsi="Verdana"/>
          <w:sz w:val="22"/>
          <w:szCs w:val="22"/>
        </w:rPr>
        <w:t>s</w:t>
      </w:r>
      <w:r w:rsidRPr="008A5442">
        <w:rPr>
          <w:rFonts w:ascii="Verdana" w:hAnsi="Verdana"/>
          <w:sz w:val="22"/>
          <w:szCs w:val="22"/>
        </w:rPr>
        <w:t xml:space="preserve"> that </w:t>
      </w:r>
      <w:r w:rsidR="00262D6D" w:rsidRPr="008A5442">
        <w:rPr>
          <w:rFonts w:ascii="Verdana" w:hAnsi="Verdana"/>
          <w:sz w:val="22"/>
          <w:szCs w:val="22"/>
        </w:rPr>
        <w:t>the majority of assistive tech</w:t>
      </w:r>
      <w:r w:rsidR="00781B01" w:rsidRPr="008A5442">
        <w:rPr>
          <w:rFonts w:ascii="Verdana" w:hAnsi="Verdana"/>
          <w:sz w:val="22"/>
          <w:szCs w:val="22"/>
        </w:rPr>
        <w:t>nology devices purchased by LEA</w:t>
      </w:r>
      <w:r w:rsidR="00262D6D" w:rsidRPr="008A5442">
        <w:rPr>
          <w:rFonts w:ascii="Verdana" w:hAnsi="Verdana"/>
          <w:sz w:val="22"/>
          <w:szCs w:val="22"/>
        </w:rPr>
        <w:t>s are not so customized so as to make it unlikely that they could be used by other students with disabilities.</w:t>
      </w:r>
    </w:p>
    <w:p w:rsidR="00BC3930" w:rsidRPr="008A5442" w:rsidRDefault="00BC3930" w:rsidP="00C718D4">
      <w:pPr>
        <w:ind w:left="360"/>
        <w:rPr>
          <w:rFonts w:ascii="Verdana" w:hAnsi="Verdana"/>
          <w:sz w:val="22"/>
          <w:szCs w:val="22"/>
        </w:rPr>
      </w:pPr>
    </w:p>
    <w:p w:rsidR="000A7B2D" w:rsidRPr="008A5442" w:rsidRDefault="00262D6D" w:rsidP="00C718D4">
      <w:pPr>
        <w:ind w:left="360"/>
        <w:rPr>
          <w:rFonts w:ascii="Verdana" w:hAnsi="Verdana"/>
          <w:sz w:val="22"/>
          <w:szCs w:val="22"/>
        </w:rPr>
      </w:pPr>
      <w:r w:rsidRPr="008A5442">
        <w:rPr>
          <w:rFonts w:ascii="Verdana" w:hAnsi="Verdana"/>
          <w:sz w:val="22"/>
          <w:szCs w:val="22"/>
        </w:rPr>
        <w:t xml:space="preserve">For example, a </w:t>
      </w:r>
      <w:r w:rsidR="000A7B2D" w:rsidRPr="008A5442">
        <w:rPr>
          <w:rFonts w:ascii="Verdana" w:hAnsi="Verdana"/>
          <w:sz w:val="22"/>
          <w:szCs w:val="22"/>
        </w:rPr>
        <w:t xml:space="preserve">text-to-speech </w:t>
      </w:r>
      <w:r w:rsidRPr="008A5442">
        <w:rPr>
          <w:rFonts w:ascii="Verdana" w:hAnsi="Verdana"/>
          <w:sz w:val="22"/>
          <w:szCs w:val="22"/>
        </w:rPr>
        <w:t xml:space="preserve">system used by a </w:t>
      </w:r>
      <w:r w:rsidR="000A7B2D" w:rsidRPr="008A5442">
        <w:rPr>
          <w:rFonts w:ascii="Verdana" w:hAnsi="Verdana"/>
          <w:sz w:val="22"/>
          <w:szCs w:val="22"/>
        </w:rPr>
        <w:t>student with a learning disability could be used by a number of other stu</w:t>
      </w:r>
      <w:r w:rsidR="00734CBB" w:rsidRPr="008A5442">
        <w:rPr>
          <w:rFonts w:ascii="Verdana" w:hAnsi="Verdana"/>
          <w:sz w:val="22"/>
          <w:szCs w:val="22"/>
        </w:rPr>
        <w:t xml:space="preserve">dents with disabilities or </w:t>
      </w:r>
      <w:r w:rsidR="000A7B2D" w:rsidRPr="008A5442">
        <w:rPr>
          <w:rFonts w:ascii="Verdana" w:hAnsi="Verdana"/>
          <w:sz w:val="22"/>
          <w:szCs w:val="22"/>
        </w:rPr>
        <w:t xml:space="preserve">students who are English Language Learners or other non-disabled students who would benefit from the multi-sensory approach.  </w:t>
      </w:r>
      <w:r w:rsidR="0018317C" w:rsidRPr="008A5442">
        <w:rPr>
          <w:rFonts w:ascii="Verdana" w:hAnsi="Verdana"/>
          <w:sz w:val="22"/>
          <w:szCs w:val="22"/>
        </w:rPr>
        <w:t>There are</w:t>
      </w:r>
      <w:r w:rsidRPr="008A5442">
        <w:rPr>
          <w:rFonts w:ascii="Verdana" w:hAnsi="Verdana"/>
          <w:sz w:val="22"/>
          <w:szCs w:val="22"/>
        </w:rPr>
        <w:t xml:space="preserve">, in fact, </w:t>
      </w:r>
      <w:r w:rsidR="0018317C" w:rsidRPr="008A5442">
        <w:rPr>
          <w:rFonts w:ascii="Verdana" w:hAnsi="Verdana"/>
          <w:sz w:val="22"/>
          <w:szCs w:val="22"/>
        </w:rPr>
        <w:t xml:space="preserve">relatively few </w:t>
      </w:r>
      <w:r w:rsidRPr="008A5442">
        <w:rPr>
          <w:rFonts w:ascii="Verdana" w:hAnsi="Verdana"/>
          <w:sz w:val="22"/>
          <w:szCs w:val="22"/>
        </w:rPr>
        <w:t>devices that would be so customized as to preclude use by o</w:t>
      </w:r>
      <w:r w:rsidR="00734CBB" w:rsidRPr="008A5442">
        <w:rPr>
          <w:rFonts w:ascii="Verdana" w:hAnsi="Verdana"/>
          <w:sz w:val="22"/>
          <w:szCs w:val="22"/>
        </w:rPr>
        <w:t>ther students</w:t>
      </w:r>
      <w:r w:rsidR="00231382">
        <w:rPr>
          <w:rFonts w:ascii="Verdana" w:hAnsi="Verdana"/>
          <w:sz w:val="22"/>
          <w:szCs w:val="22"/>
        </w:rPr>
        <w:t>.</w:t>
      </w:r>
      <w:r w:rsidRPr="008A5442">
        <w:rPr>
          <w:rFonts w:ascii="Verdana" w:hAnsi="Verdana"/>
          <w:sz w:val="22"/>
          <w:szCs w:val="22"/>
        </w:rPr>
        <w:t xml:space="preserve"> </w:t>
      </w:r>
      <w:r w:rsidR="00734CBB" w:rsidRPr="008A5442">
        <w:rPr>
          <w:rFonts w:ascii="Verdana" w:hAnsi="Verdana"/>
          <w:sz w:val="22"/>
          <w:szCs w:val="22"/>
        </w:rPr>
        <w:t>T</w:t>
      </w:r>
      <w:r w:rsidR="000A7B2D" w:rsidRPr="008A5442">
        <w:rPr>
          <w:rFonts w:ascii="Verdana" w:hAnsi="Verdana"/>
          <w:sz w:val="22"/>
          <w:szCs w:val="22"/>
        </w:rPr>
        <w:t>he assumption that most of the assist</w:t>
      </w:r>
      <w:r w:rsidR="00781B01" w:rsidRPr="008A5442">
        <w:rPr>
          <w:rFonts w:ascii="Verdana" w:hAnsi="Verdana"/>
          <w:sz w:val="22"/>
          <w:szCs w:val="22"/>
        </w:rPr>
        <w:t>ive technology purchased by LEA</w:t>
      </w:r>
      <w:r w:rsidR="000A7B2D" w:rsidRPr="008A5442">
        <w:rPr>
          <w:rFonts w:ascii="Verdana" w:hAnsi="Verdana"/>
          <w:sz w:val="22"/>
          <w:szCs w:val="22"/>
        </w:rPr>
        <w:t xml:space="preserve">s will meet the criteria of “no longer needed” </w:t>
      </w:r>
      <w:r w:rsidR="00734CBB" w:rsidRPr="008A5442">
        <w:rPr>
          <w:rFonts w:ascii="Verdana" w:hAnsi="Verdana"/>
          <w:sz w:val="22"/>
          <w:szCs w:val="22"/>
        </w:rPr>
        <w:t>is not necessarily reflected in the design of 21</w:t>
      </w:r>
      <w:r w:rsidR="00734CBB" w:rsidRPr="008A5442">
        <w:rPr>
          <w:rFonts w:ascii="Verdana" w:hAnsi="Verdana"/>
          <w:vertAlign w:val="superscript"/>
        </w:rPr>
        <w:t>st</w:t>
      </w:r>
      <w:r w:rsidR="00734CBB" w:rsidRPr="008A5442">
        <w:rPr>
          <w:rFonts w:ascii="Verdana" w:hAnsi="Verdana"/>
          <w:sz w:val="22"/>
          <w:szCs w:val="22"/>
        </w:rPr>
        <w:t xml:space="preserve"> century technologies.</w:t>
      </w:r>
    </w:p>
    <w:p w:rsidR="000A7B2D" w:rsidRPr="008A5442" w:rsidRDefault="000A7B2D" w:rsidP="00262D6D">
      <w:pPr>
        <w:rPr>
          <w:rFonts w:ascii="Verdana" w:hAnsi="Verdana"/>
          <w:sz w:val="22"/>
          <w:szCs w:val="22"/>
        </w:rPr>
      </w:pPr>
    </w:p>
    <w:p w:rsidR="0006599C" w:rsidRPr="008A5442" w:rsidRDefault="00C64C5E" w:rsidP="0006599C">
      <w:pPr>
        <w:ind w:left="360"/>
        <w:rPr>
          <w:rFonts w:ascii="Verdana" w:hAnsi="Verdana"/>
        </w:rPr>
      </w:pPr>
      <w:r w:rsidRPr="008A5442">
        <w:rPr>
          <w:rFonts w:ascii="Verdana" w:hAnsi="Verdana"/>
        </w:rPr>
        <w:t xml:space="preserve">2)  </w:t>
      </w:r>
      <w:r w:rsidRPr="00C02A2C">
        <w:rPr>
          <w:rFonts w:ascii="Verdana" w:hAnsi="Verdana"/>
          <w:sz w:val="22"/>
          <w:szCs w:val="22"/>
        </w:rPr>
        <w:t xml:space="preserve">The letter </w:t>
      </w:r>
      <w:r w:rsidR="00C1232D" w:rsidRPr="00C02A2C">
        <w:rPr>
          <w:rFonts w:ascii="Verdana" w:hAnsi="Verdana"/>
          <w:sz w:val="22"/>
          <w:szCs w:val="22"/>
        </w:rPr>
        <w:t xml:space="preserve">also </w:t>
      </w:r>
      <w:r w:rsidRPr="00C02A2C">
        <w:rPr>
          <w:rFonts w:ascii="Verdana" w:hAnsi="Verdana"/>
          <w:sz w:val="22"/>
          <w:szCs w:val="22"/>
        </w:rPr>
        <w:t xml:space="preserve">assumes that most assistive technology devices are purchased with IDEA </w:t>
      </w:r>
      <w:r w:rsidR="0018317C" w:rsidRPr="00C02A2C">
        <w:rPr>
          <w:rFonts w:ascii="Verdana" w:hAnsi="Verdana"/>
          <w:sz w:val="22"/>
          <w:szCs w:val="22"/>
        </w:rPr>
        <w:t xml:space="preserve">or other </w:t>
      </w:r>
      <w:r w:rsidRPr="00C02A2C">
        <w:rPr>
          <w:rFonts w:ascii="Verdana" w:hAnsi="Verdana"/>
          <w:sz w:val="22"/>
          <w:szCs w:val="22"/>
        </w:rPr>
        <w:t>federal dollars.  Since IDEA funding makes up such a small portion of overall special education spending, it is far more likely that devices will be pur</w:t>
      </w:r>
      <w:r w:rsidR="00BE0769" w:rsidRPr="00C02A2C">
        <w:rPr>
          <w:rFonts w:ascii="Verdana" w:hAnsi="Verdana"/>
          <w:sz w:val="22"/>
          <w:szCs w:val="22"/>
        </w:rPr>
        <w:t>chased with non-IDEA dollars.</w:t>
      </w:r>
    </w:p>
    <w:p w:rsidR="00C377B2" w:rsidRPr="008A5442" w:rsidRDefault="0006599C" w:rsidP="0006599C">
      <w:pPr>
        <w:ind w:left="360"/>
        <w:rPr>
          <w:rFonts w:ascii="Verdana" w:hAnsi="Verdana"/>
        </w:rPr>
      </w:pPr>
      <w:r w:rsidRPr="008A5442">
        <w:rPr>
          <w:rFonts w:ascii="Verdana" w:hAnsi="Verdana"/>
        </w:rPr>
        <w:t xml:space="preserve"> </w:t>
      </w:r>
    </w:p>
    <w:p w:rsidR="0006599C" w:rsidRPr="008A5442" w:rsidRDefault="00094189" w:rsidP="00DA5C00">
      <w:pPr>
        <w:rPr>
          <w:rFonts w:ascii="Verdana" w:hAnsi="Verdana"/>
          <w:sz w:val="22"/>
          <w:szCs w:val="22"/>
        </w:rPr>
      </w:pPr>
      <w:r w:rsidRPr="008A5442">
        <w:rPr>
          <w:rFonts w:ascii="Verdana" w:hAnsi="Verdana"/>
          <w:sz w:val="22"/>
          <w:szCs w:val="22"/>
        </w:rPr>
        <w:t xml:space="preserve">In the end, the OSERS policy letter did not appear to have a significant </w:t>
      </w:r>
      <w:r w:rsidR="00101C09" w:rsidRPr="008A5442">
        <w:rPr>
          <w:rFonts w:ascii="Verdana" w:hAnsi="Verdana"/>
          <w:sz w:val="22"/>
          <w:szCs w:val="22"/>
        </w:rPr>
        <w:t xml:space="preserve">direct </w:t>
      </w:r>
      <w:r w:rsidRPr="008A5442">
        <w:rPr>
          <w:rFonts w:ascii="Verdana" w:hAnsi="Verdana"/>
          <w:sz w:val="22"/>
          <w:szCs w:val="22"/>
        </w:rPr>
        <w:t>impact on the degre</w:t>
      </w:r>
      <w:r w:rsidR="00101C09" w:rsidRPr="008A5442">
        <w:rPr>
          <w:rFonts w:ascii="Verdana" w:hAnsi="Verdana"/>
          <w:sz w:val="22"/>
          <w:szCs w:val="22"/>
        </w:rPr>
        <w:t>e to which AT transfers</w:t>
      </w:r>
      <w:r w:rsidRPr="008A5442">
        <w:rPr>
          <w:rFonts w:ascii="Verdana" w:hAnsi="Verdana"/>
          <w:sz w:val="22"/>
          <w:szCs w:val="22"/>
        </w:rPr>
        <w:t xml:space="preserve">.   </w:t>
      </w:r>
      <w:r w:rsidR="00101C09" w:rsidRPr="008A5442">
        <w:rPr>
          <w:rFonts w:ascii="Verdana" w:hAnsi="Verdana"/>
          <w:sz w:val="22"/>
          <w:szCs w:val="22"/>
        </w:rPr>
        <w:t>However, the letter may have raised awareness of the issue in way that encouraged state and local education agencies to develop policies or practices that would support AT device transfer as a number were subsequently</w:t>
      </w:r>
      <w:r w:rsidR="004C7BC9" w:rsidRPr="008A5442">
        <w:rPr>
          <w:rFonts w:ascii="Verdana" w:hAnsi="Verdana"/>
          <w:sz w:val="22"/>
          <w:szCs w:val="22"/>
        </w:rPr>
        <w:t xml:space="preserve"> developed</w:t>
      </w:r>
      <w:r w:rsidR="00101C09" w:rsidRPr="008A5442">
        <w:rPr>
          <w:rFonts w:ascii="Verdana" w:hAnsi="Verdana"/>
          <w:sz w:val="22"/>
          <w:szCs w:val="22"/>
        </w:rPr>
        <w:t xml:space="preserve">.  </w:t>
      </w:r>
      <w:r w:rsidR="004C7BC9" w:rsidRPr="008A5442">
        <w:rPr>
          <w:rFonts w:ascii="Verdana" w:hAnsi="Verdana"/>
          <w:sz w:val="22"/>
          <w:szCs w:val="22"/>
        </w:rPr>
        <w:t>In addition, it most certainly focused attention on the issue and highlighted the fact that EDGAR requirements in and of themselves should not pose a significant barrier to equipment transfer.</w:t>
      </w:r>
    </w:p>
    <w:p w:rsidR="002E6A46" w:rsidRPr="008A5442" w:rsidRDefault="0006599C" w:rsidP="00DA5C00">
      <w:pPr>
        <w:rPr>
          <w:rFonts w:ascii="Verdana" w:hAnsi="Verdana"/>
          <w:sz w:val="22"/>
          <w:szCs w:val="22"/>
        </w:rPr>
      </w:pPr>
      <w:r w:rsidRPr="008A5442">
        <w:rPr>
          <w:rFonts w:ascii="Verdana" w:hAnsi="Verdana"/>
          <w:sz w:val="22"/>
          <w:szCs w:val="22"/>
        </w:rPr>
        <w:t xml:space="preserve"> </w:t>
      </w:r>
    </w:p>
    <w:p w:rsidR="00791D9C" w:rsidRPr="008A5442" w:rsidRDefault="00534910" w:rsidP="00264679">
      <w:pPr>
        <w:pStyle w:val="Heading2"/>
        <w:rPr>
          <w:rFonts w:ascii="Verdana" w:hAnsi="Verdana"/>
          <w:b/>
          <w:sz w:val="24"/>
          <w:szCs w:val="24"/>
        </w:rPr>
      </w:pPr>
      <w:r w:rsidRPr="008A5442">
        <w:rPr>
          <w:rFonts w:ascii="Verdana" w:hAnsi="Verdana"/>
          <w:b/>
          <w:color w:val="auto"/>
          <w:sz w:val="24"/>
          <w:szCs w:val="24"/>
        </w:rPr>
        <w:t>State</w:t>
      </w:r>
      <w:r w:rsidR="00791D9C" w:rsidRPr="008A5442">
        <w:rPr>
          <w:rFonts w:ascii="Verdana" w:hAnsi="Verdana"/>
          <w:b/>
          <w:color w:val="auto"/>
          <w:sz w:val="24"/>
          <w:szCs w:val="24"/>
        </w:rPr>
        <w:t>/Local Equipment Disposition Policy</w:t>
      </w:r>
    </w:p>
    <w:p w:rsidR="0006599C" w:rsidRPr="008A5442" w:rsidRDefault="00101C09" w:rsidP="00101C09">
      <w:pPr>
        <w:rPr>
          <w:rFonts w:ascii="Verdana" w:hAnsi="Verdana"/>
          <w:sz w:val="22"/>
          <w:szCs w:val="22"/>
        </w:rPr>
      </w:pPr>
      <w:r w:rsidRPr="008A5442">
        <w:rPr>
          <w:rFonts w:ascii="Verdana" w:hAnsi="Verdana"/>
          <w:sz w:val="22"/>
          <w:szCs w:val="22"/>
        </w:rPr>
        <w:t xml:space="preserve">Equipment disposition policies at a state/local level </w:t>
      </w:r>
      <w:r w:rsidR="004E57F8" w:rsidRPr="008A5442">
        <w:rPr>
          <w:rFonts w:ascii="Verdana" w:hAnsi="Verdana"/>
          <w:sz w:val="22"/>
          <w:szCs w:val="22"/>
        </w:rPr>
        <w:t xml:space="preserve">usually </w:t>
      </w:r>
      <w:r w:rsidR="004C7BC9" w:rsidRPr="008A5442">
        <w:rPr>
          <w:rFonts w:ascii="Verdana" w:hAnsi="Verdana"/>
          <w:sz w:val="22"/>
          <w:szCs w:val="22"/>
        </w:rPr>
        <w:t xml:space="preserve">begin with the </w:t>
      </w:r>
      <w:r w:rsidRPr="008A5442">
        <w:rPr>
          <w:rFonts w:ascii="Verdana" w:hAnsi="Verdana"/>
          <w:sz w:val="22"/>
          <w:szCs w:val="22"/>
        </w:rPr>
        <w:t xml:space="preserve">EDGAR provisions and then add requirements unique to the state or local agency.  </w:t>
      </w:r>
      <w:r w:rsidR="00D16B84" w:rsidRPr="008A5442">
        <w:rPr>
          <w:rFonts w:ascii="Verdana" w:hAnsi="Verdana"/>
          <w:sz w:val="22"/>
          <w:szCs w:val="22"/>
        </w:rPr>
        <w:t xml:space="preserve">AT devices purchased with state/local funds are </w:t>
      </w:r>
      <w:r w:rsidR="007639F7" w:rsidRPr="008A5442">
        <w:rPr>
          <w:rFonts w:ascii="Verdana" w:hAnsi="Verdana"/>
          <w:sz w:val="22"/>
          <w:szCs w:val="22"/>
        </w:rPr>
        <w:t xml:space="preserve">technically </w:t>
      </w:r>
      <w:r w:rsidR="00D16B84" w:rsidRPr="008A5442">
        <w:rPr>
          <w:rFonts w:ascii="Verdana" w:hAnsi="Verdana"/>
          <w:sz w:val="22"/>
          <w:szCs w:val="22"/>
        </w:rPr>
        <w:t xml:space="preserve">subject to </w:t>
      </w:r>
      <w:r w:rsidR="007639F7" w:rsidRPr="008A5442">
        <w:rPr>
          <w:rFonts w:ascii="Verdana" w:hAnsi="Verdana"/>
          <w:sz w:val="22"/>
          <w:szCs w:val="22"/>
        </w:rPr>
        <w:t xml:space="preserve">only </w:t>
      </w:r>
      <w:r w:rsidR="00D16B84" w:rsidRPr="008A5442">
        <w:rPr>
          <w:rFonts w:ascii="Verdana" w:hAnsi="Verdana"/>
          <w:sz w:val="22"/>
          <w:szCs w:val="22"/>
        </w:rPr>
        <w:t>state/</w:t>
      </w:r>
      <w:r w:rsidRPr="008A5442">
        <w:rPr>
          <w:rFonts w:ascii="Verdana" w:hAnsi="Verdana"/>
          <w:sz w:val="22"/>
          <w:szCs w:val="22"/>
        </w:rPr>
        <w:t xml:space="preserve">local </w:t>
      </w:r>
      <w:r w:rsidR="00D16B84" w:rsidRPr="008A5442">
        <w:rPr>
          <w:rFonts w:ascii="Verdana" w:hAnsi="Verdana"/>
          <w:sz w:val="22"/>
          <w:szCs w:val="22"/>
        </w:rPr>
        <w:t>policies</w:t>
      </w:r>
      <w:r w:rsidR="007639F7" w:rsidRPr="008A5442">
        <w:rPr>
          <w:rFonts w:ascii="Verdana" w:hAnsi="Verdana"/>
          <w:sz w:val="22"/>
          <w:szCs w:val="22"/>
        </w:rPr>
        <w:t xml:space="preserve"> but </w:t>
      </w:r>
      <w:r w:rsidR="004C7BC9" w:rsidRPr="008A5442">
        <w:rPr>
          <w:rFonts w:ascii="Verdana" w:hAnsi="Verdana"/>
          <w:sz w:val="22"/>
          <w:szCs w:val="22"/>
        </w:rPr>
        <w:t xml:space="preserve">in reality </w:t>
      </w:r>
      <w:r w:rsidR="007639F7" w:rsidRPr="008A5442">
        <w:rPr>
          <w:rFonts w:ascii="Verdana" w:hAnsi="Verdana"/>
          <w:sz w:val="22"/>
          <w:szCs w:val="22"/>
        </w:rPr>
        <w:t>those usually encompass the equipment disposition directive of EDGAR</w:t>
      </w:r>
      <w:r w:rsidR="004E57F8" w:rsidRPr="008A5442">
        <w:rPr>
          <w:rFonts w:ascii="Verdana" w:hAnsi="Verdana"/>
          <w:sz w:val="22"/>
          <w:szCs w:val="22"/>
        </w:rPr>
        <w:t xml:space="preserve"> as well</w:t>
      </w:r>
      <w:r w:rsidR="007639F7" w:rsidRPr="008A5442">
        <w:rPr>
          <w:rFonts w:ascii="Verdana" w:hAnsi="Verdana"/>
          <w:sz w:val="22"/>
          <w:szCs w:val="22"/>
        </w:rPr>
        <w:t>.</w:t>
      </w:r>
    </w:p>
    <w:p w:rsidR="0006599C" w:rsidRPr="008A5442" w:rsidRDefault="0006599C" w:rsidP="00101C09">
      <w:pPr>
        <w:rPr>
          <w:rFonts w:ascii="Verdana" w:hAnsi="Verdana"/>
          <w:sz w:val="22"/>
          <w:szCs w:val="22"/>
        </w:rPr>
      </w:pPr>
    </w:p>
    <w:p w:rsidR="00101C09" w:rsidRPr="008A5442" w:rsidRDefault="004E57F8" w:rsidP="00101C09">
      <w:pPr>
        <w:rPr>
          <w:rFonts w:ascii="Verdana" w:hAnsi="Verdana"/>
          <w:sz w:val="22"/>
          <w:szCs w:val="22"/>
        </w:rPr>
      </w:pPr>
      <w:r w:rsidRPr="008A5442">
        <w:rPr>
          <w:rFonts w:ascii="Verdana" w:hAnsi="Verdana"/>
          <w:sz w:val="22"/>
          <w:szCs w:val="22"/>
        </w:rPr>
        <w:t>M</w:t>
      </w:r>
      <w:r w:rsidR="004C7BC9" w:rsidRPr="008A5442">
        <w:rPr>
          <w:rFonts w:ascii="Verdana" w:hAnsi="Verdana"/>
          <w:sz w:val="22"/>
          <w:szCs w:val="22"/>
        </w:rPr>
        <w:t>ost AT equipment disposition is done according to state/local policy provisions and u</w:t>
      </w:r>
      <w:r w:rsidR="00D16B84" w:rsidRPr="008A5442">
        <w:rPr>
          <w:rFonts w:ascii="Verdana" w:hAnsi="Verdana"/>
          <w:sz w:val="22"/>
          <w:szCs w:val="22"/>
        </w:rPr>
        <w:t>nfortunately some of th</w:t>
      </w:r>
      <w:r w:rsidR="004C7BC9" w:rsidRPr="008A5442">
        <w:rPr>
          <w:rFonts w:ascii="Verdana" w:hAnsi="Verdana"/>
          <w:sz w:val="22"/>
          <w:szCs w:val="22"/>
        </w:rPr>
        <w:t xml:space="preserve">ose provisions </w:t>
      </w:r>
      <w:r w:rsidR="00101C09" w:rsidRPr="008A5442">
        <w:rPr>
          <w:rFonts w:ascii="Verdana" w:hAnsi="Verdana"/>
          <w:sz w:val="22"/>
          <w:szCs w:val="22"/>
        </w:rPr>
        <w:t xml:space="preserve">create disincentives for equipment transfer.  </w:t>
      </w:r>
      <w:r w:rsidR="004C7BC9" w:rsidRPr="008A5442">
        <w:rPr>
          <w:rFonts w:ascii="Verdana" w:hAnsi="Verdana"/>
          <w:sz w:val="22"/>
          <w:szCs w:val="22"/>
        </w:rPr>
        <w:t>S</w:t>
      </w:r>
      <w:r w:rsidR="00D16B84" w:rsidRPr="008A5442">
        <w:rPr>
          <w:rFonts w:ascii="Verdana" w:hAnsi="Verdana"/>
          <w:sz w:val="22"/>
          <w:szCs w:val="22"/>
        </w:rPr>
        <w:t xml:space="preserve">ome </w:t>
      </w:r>
      <w:r w:rsidR="00101C09" w:rsidRPr="008A5442">
        <w:rPr>
          <w:rFonts w:ascii="Verdana" w:hAnsi="Verdana"/>
          <w:sz w:val="22"/>
          <w:szCs w:val="22"/>
        </w:rPr>
        <w:t>define equipment at lesser initial acquisition costs</w:t>
      </w:r>
      <w:r w:rsidR="00D16B84" w:rsidRPr="008A5442">
        <w:rPr>
          <w:rFonts w:ascii="Verdana" w:hAnsi="Verdana"/>
          <w:sz w:val="22"/>
          <w:szCs w:val="22"/>
        </w:rPr>
        <w:t xml:space="preserve"> than EDGAR (</w:t>
      </w:r>
      <w:r w:rsidR="00101C09" w:rsidRPr="008A5442">
        <w:rPr>
          <w:rFonts w:ascii="Verdana" w:hAnsi="Verdana"/>
          <w:sz w:val="22"/>
          <w:szCs w:val="22"/>
        </w:rPr>
        <w:t>as low as $1,000 per unit</w:t>
      </w:r>
      <w:r w:rsidR="00D16B84" w:rsidRPr="008A5442">
        <w:rPr>
          <w:rFonts w:ascii="Verdana" w:hAnsi="Verdana"/>
          <w:sz w:val="22"/>
          <w:szCs w:val="22"/>
        </w:rPr>
        <w:t>)</w:t>
      </w:r>
      <w:r w:rsidR="00101C09" w:rsidRPr="008A5442">
        <w:rPr>
          <w:rFonts w:ascii="Verdana" w:hAnsi="Verdana"/>
          <w:sz w:val="22"/>
          <w:szCs w:val="22"/>
        </w:rPr>
        <w:t xml:space="preserve"> </w:t>
      </w:r>
      <w:r w:rsidR="00D16B84" w:rsidRPr="008A5442">
        <w:rPr>
          <w:rFonts w:ascii="Verdana" w:hAnsi="Verdana"/>
          <w:sz w:val="22"/>
          <w:szCs w:val="22"/>
        </w:rPr>
        <w:t xml:space="preserve">and as a result </w:t>
      </w:r>
      <w:r w:rsidR="00D96339" w:rsidRPr="008A5442">
        <w:rPr>
          <w:rFonts w:ascii="Verdana" w:hAnsi="Verdana"/>
          <w:sz w:val="22"/>
          <w:szCs w:val="22"/>
        </w:rPr>
        <w:t xml:space="preserve">require fair market value to be obtained for more devices.  </w:t>
      </w:r>
      <w:r w:rsidR="004C7BC9" w:rsidRPr="008A5442">
        <w:rPr>
          <w:rFonts w:ascii="Verdana" w:hAnsi="Verdana"/>
          <w:sz w:val="22"/>
          <w:szCs w:val="22"/>
        </w:rPr>
        <w:t xml:space="preserve">Others </w:t>
      </w:r>
      <w:r w:rsidRPr="008A5442">
        <w:rPr>
          <w:rFonts w:ascii="Verdana" w:hAnsi="Verdana"/>
          <w:sz w:val="22"/>
          <w:szCs w:val="22"/>
        </w:rPr>
        <w:t xml:space="preserve">have policies specifying </w:t>
      </w:r>
      <w:r w:rsidR="00101C09" w:rsidRPr="008A5442">
        <w:rPr>
          <w:rFonts w:ascii="Verdana" w:hAnsi="Verdana"/>
          <w:sz w:val="22"/>
          <w:szCs w:val="22"/>
        </w:rPr>
        <w:t xml:space="preserve">equipment retention for a </w:t>
      </w:r>
      <w:r w:rsidRPr="008A5442">
        <w:rPr>
          <w:rFonts w:ascii="Verdana" w:hAnsi="Verdana"/>
          <w:sz w:val="22"/>
          <w:szCs w:val="22"/>
        </w:rPr>
        <w:t xml:space="preserve">set </w:t>
      </w:r>
      <w:r w:rsidR="00101C09" w:rsidRPr="008A5442">
        <w:rPr>
          <w:rFonts w:ascii="Verdana" w:hAnsi="Verdana"/>
          <w:sz w:val="22"/>
          <w:szCs w:val="22"/>
        </w:rPr>
        <w:t>period of time</w:t>
      </w:r>
      <w:r w:rsidRPr="008A5442">
        <w:rPr>
          <w:rFonts w:ascii="Verdana" w:hAnsi="Verdana"/>
          <w:sz w:val="22"/>
          <w:szCs w:val="22"/>
        </w:rPr>
        <w:t xml:space="preserve">, </w:t>
      </w:r>
      <w:r w:rsidR="004C7BC9" w:rsidRPr="008A5442">
        <w:rPr>
          <w:rFonts w:ascii="Verdana" w:hAnsi="Verdana"/>
          <w:sz w:val="22"/>
          <w:szCs w:val="22"/>
        </w:rPr>
        <w:t>stipulating that</w:t>
      </w:r>
      <w:r w:rsidR="00101C09" w:rsidRPr="008A5442">
        <w:rPr>
          <w:rFonts w:ascii="Verdana" w:hAnsi="Verdana"/>
          <w:sz w:val="22"/>
          <w:szCs w:val="22"/>
        </w:rPr>
        <w:t xml:space="preserve"> items </w:t>
      </w:r>
      <w:r w:rsidR="004C7BC9" w:rsidRPr="008A5442">
        <w:rPr>
          <w:rFonts w:ascii="Verdana" w:hAnsi="Verdana"/>
          <w:sz w:val="22"/>
          <w:szCs w:val="22"/>
        </w:rPr>
        <w:t xml:space="preserve">can </w:t>
      </w:r>
      <w:r w:rsidR="00101C09" w:rsidRPr="008A5442">
        <w:rPr>
          <w:rFonts w:ascii="Verdana" w:hAnsi="Verdana"/>
          <w:sz w:val="22"/>
          <w:szCs w:val="22"/>
        </w:rPr>
        <w:t xml:space="preserve">be depreciated off inventory when they have been owned for that period of time.  For example, a local policy might </w:t>
      </w:r>
      <w:r w:rsidR="004C7BC9" w:rsidRPr="008A5442">
        <w:rPr>
          <w:rFonts w:ascii="Verdana" w:hAnsi="Verdana"/>
          <w:sz w:val="22"/>
          <w:szCs w:val="22"/>
        </w:rPr>
        <w:t xml:space="preserve">indicate </w:t>
      </w:r>
      <w:r w:rsidR="00101C09" w:rsidRPr="008A5442">
        <w:rPr>
          <w:rFonts w:ascii="Verdana" w:hAnsi="Verdana"/>
          <w:sz w:val="22"/>
          <w:szCs w:val="22"/>
        </w:rPr>
        <w:t xml:space="preserve">that equipment with an initial purchase price of less than $5,000 </w:t>
      </w:r>
      <w:r w:rsidR="004C7BC9" w:rsidRPr="008A5442">
        <w:rPr>
          <w:rFonts w:ascii="Verdana" w:hAnsi="Verdana"/>
          <w:sz w:val="22"/>
          <w:szCs w:val="22"/>
        </w:rPr>
        <w:t xml:space="preserve">can be </w:t>
      </w:r>
      <w:r w:rsidR="00101C09" w:rsidRPr="008A5442">
        <w:rPr>
          <w:rFonts w:ascii="Verdana" w:hAnsi="Verdana"/>
          <w:sz w:val="22"/>
          <w:szCs w:val="22"/>
        </w:rPr>
        <w:t xml:space="preserve">depreciated to zero at the end of 5 years.  This kind of policy can simplify inventory control (e.g. items are moved off inventory automatically after the prescribed time has passed) but may prove to be a barrier to equipment transfer </w:t>
      </w:r>
      <w:r w:rsidR="00734CBB" w:rsidRPr="008A5442">
        <w:rPr>
          <w:rFonts w:ascii="Verdana" w:hAnsi="Verdana"/>
          <w:sz w:val="22"/>
          <w:szCs w:val="22"/>
        </w:rPr>
        <w:t xml:space="preserve">for </w:t>
      </w:r>
      <w:r w:rsidR="00101C09" w:rsidRPr="008A5442">
        <w:rPr>
          <w:rFonts w:ascii="Verdana" w:hAnsi="Verdana"/>
          <w:sz w:val="22"/>
          <w:szCs w:val="22"/>
        </w:rPr>
        <w:t>students</w:t>
      </w:r>
      <w:r w:rsidR="00734CBB" w:rsidRPr="008A5442">
        <w:rPr>
          <w:rFonts w:ascii="Verdana" w:hAnsi="Verdana"/>
          <w:sz w:val="22"/>
          <w:szCs w:val="22"/>
        </w:rPr>
        <w:t xml:space="preserve"> moving</w:t>
      </w:r>
      <w:r w:rsidR="00101C09" w:rsidRPr="008A5442">
        <w:rPr>
          <w:rFonts w:ascii="Verdana" w:hAnsi="Verdana"/>
          <w:sz w:val="22"/>
          <w:szCs w:val="22"/>
        </w:rPr>
        <w:t xml:space="preserve"> from school to</w:t>
      </w:r>
      <w:r w:rsidR="00734CBB" w:rsidRPr="008A5442">
        <w:rPr>
          <w:rFonts w:ascii="Verdana" w:hAnsi="Verdana"/>
          <w:sz w:val="22"/>
          <w:szCs w:val="22"/>
        </w:rPr>
        <w:t xml:space="preserve"> other</w:t>
      </w:r>
      <w:r w:rsidR="00101C09" w:rsidRPr="008A5442">
        <w:rPr>
          <w:rFonts w:ascii="Verdana" w:hAnsi="Verdana"/>
          <w:sz w:val="22"/>
          <w:szCs w:val="22"/>
        </w:rPr>
        <w:t xml:space="preserve"> settings</w:t>
      </w:r>
      <w:r w:rsidR="00734CBB" w:rsidRPr="008A5442">
        <w:rPr>
          <w:rFonts w:ascii="Verdana" w:hAnsi="Verdana"/>
          <w:sz w:val="22"/>
          <w:szCs w:val="22"/>
        </w:rPr>
        <w:t xml:space="preserve"> before that time period has elapsed.</w:t>
      </w:r>
    </w:p>
    <w:p w:rsidR="00101C09" w:rsidRPr="008A5442" w:rsidRDefault="00101C09" w:rsidP="00262D6D">
      <w:pPr>
        <w:rPr>
          <w:rFonts w:ascii="Verdana" w:hAnsi="Verdana"/>
          <w:sz w:val="22"/>
          <w:szCs w:val="22"/>
        </w:rPr>
      </w:pPr>
    </w:p>
    <w:p w:rsidR="0006599C" w:rsidRPr="008A5442" w:rsidRDefault="004C7BC9" w:rsidP="00262D6D">
      <w:pPr>
        <w:rPr>
          <w:rFonts w:ascii="Verdana" w:hAnsi="Verdana"/>
          <w:sz w:val="22"/>
          <w:szCs w:val="22"/>
        </w:rPr>
      </w:pPr>
      <w:r w:rsidRPr="008A5442">
        <w:rPr>
          <w:rFonts w:ascii="Verdana" w:hAnsi="Verdana"/>
          <w:sz w:val="22"/>
          <w:szCs w:val="22"/>
        </w:rPr>
        <w:t xml:space="preserve">Currently, it appears that the best case scenario is for </w:t>
      </w:r>
      <w:r w:rsidR="00D96339" w:rsidRPr="008A5442">
        <w:rPr>
          <w:rFonts w:ascii="Verdana" w:hAnsi="Verdana"/>
          <w:sz w:val="22"/>
          <w:szCs w:val="22"/>
        </w:rPr>
        <w:t xml:space="preserve">state/local policies </w:t>
      </w:r>
      <w:r w:rsidRPr="008A5442">
        <w:rPr>
          <w:rFonts w:ascii="Verdana" w:hAnsi="Verdana"/>
          <w:sz w:val="22"/>
          <w:szCs w:val="22"/>
        </w:rPr>
        <w:t xml:space="preserve">to </w:t>
      </w:r>
      <w:r w:rsidR="00D96339" w:rsidRPr="008A5442">
        <w:rPr>
          <w:rFonts w:ascii="Verdana" w:hAnsi="Verdana"/>
          <w:sz w:val="22"/>
          <w:szCs w:val="22"/>
        </w:rPr>
        <w:t xml:space="preserve">provide the same </w:t>
      </w:r>
      <w:r w:rsidRPr="008A5442">
        <w:rPr>
          <w:rFonts w:ascii="Verdana" w:hAnsi="Verdana"/>
          <w:sz w:val="22"/>
          <w:szCs w:val="22"/>
        </w:rPr>
        <w:t xml:space="preserve">or similar </w:t>
      </w:r>
      <w:r w:rsidR="00D96339" w:rsidRPr="008A5442">
        <w:rPr>
          <w:rFonts w:ascii="Verdana" w:hAnsi="Verdana"/>
          <w:sz w:val="22"/>
          <w:szCs w:val="22"/>
        </w:rPr>
        <w:t xml:space="preserve">authority and flexibility as EDGAR does for AT device transfer.  </w:t>
      </w:r>
      <w:r w:rsidRPr="008A5442">
        <w:rPr>
          <w:rFonts w:ascii="Verdana" w:hAnsi="Verdana"/>
          <w:sz w:val="22"/>
          <w:szCs w:val="22"/>
        </w:rPr>
        <w:lastRenderedPageBreak/>
        <w:t xml:space="preserve">The worst case scenario is for them to </w:t>
      </w:r>
      <w:r w:rsidR="00D96339" w:rsidRPr="008A5442">
        <w:rPr>
          <w:rFonts w:ascii="Verdana" w:hAnsi="Verdana"/>
          <w:sz w:val="22"/>
          <w:szCs w:val="22"/>
        </w:rPr>
        <w:t xml:space="preserve">impose additional requirements that </w:t>
      </w:r>
      <w:r w:rsidRPr="008A5442">
        <w:rPr>
          <w:rFonts w:ascii="Verdana" w:hAnsi="Verdana"/>
          <w:sz w:val="22"/>
          <w:szCs w:val="22"/>
        </w:rPr>
        <w:t xml:space="preserve">create </w:t>
      </w:r>
      <w:r w:rsidR="00D96339" w:rsidRPr="008A5442">
        <w:rPr>
          <w:rFonts w:ascii="Verdana" w:hAnsi="Verdana"/>
          <w:sz w:val="22"/>
          <w:szCs w:val="22"/>
        </w:rPr>
        <w:t>bar</w:t>
      </w:r>
      <w:r w:rsidRPr="008A5442">
        <w:rPr>
          <w:rFonts w:ascii="Verdana" w:hAnsi="Verdana"/>
          <w:sz w:val="22"/>
          <w:szCs w:val="22"/>
        </w:rPr>
        <w:t>riers to such transfer.</w:t>
      </w:r>
    </w:p>
    <w:p w:rsidR="00D96339" w:rsidRPr="008A5442" w:rsidRDefault="0006599C" w:rsidP="00262D6D">
      <w:pPr>
        <w:rPr>
          <w:rFonts w:ascii="Verdana" w:hAnsi="Verdana"/>
          <w:sz w:val="22"/>
          <w:szCs w:val="22"/>
        </w:rPr>
      </w:pPr>
      <w:r w:rsidRPr="008A5442">
        <w:rPr>
          <w:rFonts w:ascii="Verdana" w:hAnsi="Verdana"/>
          <w:sz w:val="22"/>
          <w:szCs w:val="22"/>
        </w:rPr>
        <w:t xml:space="preserve"> </w:t>
      </w:r>
    </w:p>
    <w:p w:rsidR="00D96339" w:rsidRPr="008A5442" w:rsidRDefault="00235CB9" w:rsidP="008B6CB6">
      <w:pPr>
        <w:pStyle w:val="Heading2"/>
        <w:rPr>
          <w:rFonts w:ascii="Verdana" w:hAnsi="Verdana"/>
          <w:b/>
          <w:color w:val="auto"/>
          <w:sz w:val="24"/>
          <w:szCs w:val="24"/>
        </w:rPr>
      </w:pPr>
      <w:r w:rsidRPr="008A5442">
        <w:rPr>
          <w:rFonts w:ascii="Verdana" w:hAnsi="Verdana"/>
          <w:b/>
          <w:color w:val="auto"/>
          <w:sz w:val="24"/>
          <w:szCs w:val="24"/>
        </w:rPr>
        <w:t xml:space="preserve">Examples of </w:t>
      </w:r>
      <w:r w:rsidR="00D96339" w:rsidRPr="008A5442">
        <w:rPr>
          <w:rFonts w:ascii="Verdana" w:hAnsi="Verdana"/>
          <w:b/>
          <w:color w:val="auto"/>
          <w:sz w:val="24"/>
          <w:szCs w:val="24"/>
        </w:rPr>
        <w:t xml:space="preserve">State/Local Equipment Transfer Agreements and Guidelines </w:t>
      </w:r>
    </w:p>
    <w:p w:rsidR="00407C59" w:rsidRPr="008A5442" w:rsidRDefault="00534910" w:rsidP="00262D6D">
      <w:pPr>
        <w:rPr>
          <w:rFonts w:ascii="Verdana" w:hAnsi="Verdana"/>
          <w:sz w:val="22"/>
          <w:szCs w:val="22"/>
        </w:rPr>
      </w:pPr>
      <w:r w:rsidRPr="008A5442">
        <w:rPr>
          <w:rFonts w:ascii="Verdana" w:hAnsi="Verdana"/>
          <w:sz w:val="22"/>
          <w:szCs w:val="22"/>
        </w:rPr>
        <w:t>A</w:t>
      </w:r>
      <w:r w:rsidR="006D3C38" w:rsidRPr="008A5442">
        <w:rPr>
          <w:rFonts w:ascii="Verdana" w:hAnsi="Verdana"/>
          <w:sz w:val="22"/>
          <w:szCs w:val="22"/>
        </w:rPr>
        <w:t xml:space="preserve"> number of states have entered into interagency agreements </w:t>
      </w:r>
      <w:r w:rsidR="00734CBB" w:rsidRPr="008A5442">
        <w:rPr>
          <w:rFonts w:ascii="Verdana" w:hAnsi="Verdana"/>
          <w:sz w:val="22"/>
          <w:szCs w:val="22"/>
        </w:rPr>
        <w:t xml:space="preserve">or </w:t>
      </w:r>
      <w:r w:rsidR="00407C59" w:rsidRPr="008A5442">
        <w:rPr>
          <w:rFonts w:ascii="Verdana" w:hAnsi="Verdana"/>
          <w:sz w:val="22"/>
          <w:szCs w:val="22"/>
        </w:rPr>
        <w:t xml:space="preserve">adopted </w:t>
      </w:r>
      <w:r w:rsidRPr="008A5442">
        <w:rPr>
          <w:rFonts w:ascii="Verdana" w:hAnsi="Verdana"/>
          <w:sz w:val="22"/>
          <w:szCs w:val="22"/>
        </w:rPr>
        <w:t>guidelines</w:t>
      </w:r>
      <w:r w:rsidR="00407C59" w:rsidRPr="008A5442">
        <w:rPr>
          <w:rFonts w:ascii="Verdana" w:hAnsi="Verdana"/>
          <w:sz w:val="22"/>
          <w:szCs w:val="22"/>
        </w:rPr>
        <w:t xml:space="preserve"> that </w:t>
      </w:r>
      <w:r w:rsidR="006D3C38" w:rsidRPr="008A5442">
        <w:rPr>
          <w:rFonts w:ascii="Verdana" w:hAnsi="Verdana"/>
          <w:sz w:val="22"/>
          <w:szCs w:val="22"/>
        </w:rPr>
        <w:t>attempt to facilitate transition of equipment from schools to other agencies such as Vocational Rehabilita</w:t>
      </w:r>
      <w:r w:rsidR="00026B6B" w:rsidRPr="008A5442">
        <w:rPr>
          <w:rFonts w:ascii="Verdana" w:hAnsi="Verdana"/>
          <w:sz w:val="22"/>
          <w:szCs w:val="22"/>
        </w:rPr>
        <w:t>tion, post-secondary education</w:t>
      </w:r>
      <w:r w:rsidR="006D3C38" w:rsidRPr="008A5442">
        <w:rPr>
          <w:rFonts w:ascii="Verdana" w:hAnsi="Verdana"/>
          <w:sz w:val="22"/>
          <w:szCs w:val="22"/>
        </w:rPr>
        <w:t>, or employment.  All are based on the idea that it is desirable for equipment to “follow the student” to their next environment</w:t>
      </w:r>
      <w:r w:rsidR="00734CBB" w:rsidRPr="008A5442">
        <w:rPr>
          <w:rFonts w:ascii="Verdana" w:hAnsi="Verdana"/>
          <w:sz w:val="22"/>
          <w:szCs w:val="22"/>
        </w:rPr>
        <w:t>,</w:t>
      </w:r>
      <w:r w:rsidR="00986EE4" w:rsidRPr="008A5442">
        <w:rPr>
          <w:rFonts w:ascii="Verdana" w:hAnsi="Verdana"/>
          <w:sz w:val="22"/>
          <w:szCs w:val="22"/>
        </w:rPr>
        <w:t xml:space="preserve"> and a</w:t>
      </w:r>
      <w:r w:rsidR="00D57A9A" w:rsidRPr="008A5442">
        <w:rPr>
          <w:rFonts w:ascii="Verdana" w:hAnsi="Verdana"/>
          <w:sz w:val="22"/>
          <w:szCs w:val="22"/>
        </w:rPr>
        <w:t xml:space="preserve">ll build on the federal provisions of EDGAR.  </w:t>
      </w:r>
      <w:r w:rsidR="00235CB9" w:rsidRPr="008A5442">
        <w:rPr>
          <w:rFonts w:ascii="Verdana" w:hAnsi="Verdana"/>
          <w:sz w:val="22"/>
          <w:szCs w:val="22"/>
        </w:rPr>
        <w:t xml:space="preserve">None REQUIRE the equipment purchased by schools transfer and none prohibit local policies from exceeding EDGAR or the state agreement/guidelines.   They attempt to clarify and support the process that can be used by schools if they decide to support equipment transfer under their local policies/procedures.  </w:t>
      </w:r>
      <w:r w:rsidR="00407C59" w:rsidRPr="008A5442">
        <w:rPr>
          <w:rFonts w:ascii="Verdana" w:hAnsi="Verdana"/>
          <w:sz w:val="22"/>
          <w:szCs w:val="22"/>
        </w:rPr>
        <w:t>Examples of these initiatives include:</w:t>
      </w:r>
    </w:p>
    <w:p w:rsidR="00724AED" w:rsidRPr="00C02A2C" w:rsidRDefault="00B81FD1" w:rsidP="00262D6D">
      <w:pPr>
        <w:pStyle w:val="ListParagraph"/>
        <w:numPr>
          <w:ilvl w:val="0"/>
          <w:numId w:val="2"/>
        </w:numPr>
        <w:rPr>
          <w:rFonts w:ascii="Verdana" w:hAnsi="Verdana"/>
          <w:sz w:val="22"/>
          <w:szCs w:val="22"/>
        </w:rPr>
      </w:pPr>
      <w:r w:rsidRPr="00C02A2C">
        <w:rPr>
          <w:rFonts w:ascii="Verdana" w:hAnsi="Verdana"/>
          <w:sz w:val="22"/>
          <w:szCs w:val="22"/>
        </w:rPr>
        <w:t xml:space="preserve">Oklahoma </w:t>
      </w:r>
      <w:r w:rsidR="00A6656E" w:rsidRPr="00C02A2C">
        <w:rPr>
          <w:rFonts w:ascii="Verdana" w:hAnsi="Verdana"/>
          <w:sz w:val="22"/>
          <w:szCs w:val="22"/>
        </w:rPr>
        <w:t xml:space="preserve">developed </w:t>
      </w:r>
      <w:r w:rsidRPr="00C02A2C">
        <w:rPr>
          <w:rFonts w:ascii="Verdana" w:hAnsi="Verdana"/>
          <w:sz w:val="22"/>
          <w:szCs w:val="22"/>
        </w:rPr>
        <w:t>a Purchase/Sale Agreement form that school districts can use to transfer AT to post-secondary settings</w:t>
      </w:r>
      <w:r w:rsidR="004E57F8" w:rsidRPr="00C02A2C">
        <w:rPr>
          <w:rFonts w:ascii="Verdana" w:hAnsi="Verdana"/>
          <w:sz w:val="22"/>
          <w:szCs w:val="22"/>
        </w:rPr>
        <w:t>, as well as adopting a methodology for depreciation</w:t>
      </w:r>
      <w:r w:rsidRPr="00C02A2C">
        <w:rPr>
          <w:rFonts w:ascii="Verdana" w:hAnsi="Verdana"/>
          <w:sz w:val="22"/>
          <w:szCs w:val="22"/>
        </w:rPr>
        <w:t xml:space="preserve">.  </w:t>
      </w:r>
    </w:p>
    <w:p w:rsidR="00A6656E" w:rsidRPr="00C02A2C" w:rsidRDefault="00DD64A0" w:rsidP="00A6656E">
      <w:pPr>
        <w:pStyle w:val="ListParagraph"/>
        <w:numPr>
          <w:ilvl w:val="0"/>
          <w:numId w:val="2"/>
        </w:numPr>
        <w:rPr>
          <w:rFonts w:ascii="Verdana" w:hAnsi="Verdana"/>
          <w:sz w:val="22"/>
          <w:szCs w:val="22"/>
        </w:rPr>
      </w:pPr>
      <w:r w:rsidRPr="00C02A2C">
        <w:rPr>
          <w:rFonts w:ascii="Verdana" w:hAnsi="Verdana"/>
          <w:sz w:val="22"/>
          <w:szCs w:val="22"/>
        </w:rPr>
        <w:t xml:space="preserve">Colorado has a cooperative services agreement between the Department of Education and Vocational Rehabilitation (VR) that provides direction for transfer/sale of assistive technology to VR when the device will meet </w:t>
      </w:r>
      <w:r w:rsidR="004E57F8" w:rsidRPr="00C02A2C">
        <w:rPr>
          <w:rFonts w:ascii="Verdana" w:hAnsi="Verdana"/>
          <w:sz w:val="22"/>
          <w:szCs w:val="22"/>
        </w:rPr>
        <w:t xml:space="preserve">the </w:t>
      </w:r>
      <w:r w:rsidRPr="00C02A2C">
        <w:rPr>
          <w:rFonts w:ascii="Verdana" w:hAnsi="Verdana"/>
          <w:sz w:val="22"/>
          <w:szCs w:val="22"/>
        </w:rPr>
        <w:t>student</w:t>
      </w:r>
      <w:r w:rsidR="004E57F8" w:rsidRPr="00C02A2C">
        <w:rPr>
          <w:rFonts w:ascii="Verdana" w:hAnsi="Verdana"/>
          <w:sz w:val="22"/>
          <w:szCs w:val="22"/>
        </w:rPr>
        <w:t>’s post-graduation</w:t>
      </w:r>
      <w:r w:rsidRPr="00C02A2C">
        <w:rPr>
          <w:rFonts w:ascii="Verdana" w:hAnsi="Verdana"/>
          <w:sz w:val="22"/>
          <w:szCs w:val="22"/>
        </w:rPr>
        <w:t xml:space="preserve"> needs and the school does</w:t>
      </w:r>
      <w:r w:rsidR="004E57F8" w:rsidRPr="00C02A2C">
        <w:rPr>
          <w:rFonts w:ascii="Verdana" w:hAnsi="Verdana"/>
          <w:sz w:val="22"/>
          <w:szCs w:val="22"/>
        </w:rPr>
        <w:t xml:space="preserve"> not</w:t>
      </w:r>
      <w:r w:rsidRPr="00C02A2C">
        <w:rPr>
          <w:rFonts w:ascii="Verdana" w:hAnsi="Verdana"/>
          <w:sz w:val="22"/>
          <w:szCs w:val="22"/>
        </w:rPr>
        <w:t xml:space="preserve"> wish to retain the device.  </w:t>
      </w:r>
    </w:p>
    <w:p w:rsidR="00986EE4" w:rsidRPr="00C02A2C" w:rsidRDefault="00986EE4" w:rsidP="00A6656E">
      <w:pPr>
        <w:pStyle w:val="ListParagraph"/>
        <w:numPr>
          <w:ilvl w:val="0"/>
          <w:numId w:val="2"/>
        </w:numPr>
        <w:rPr>
          <w:rFonts w:ascii="Verdana" w:hAnsi="Verdana"/>
          <w:sz w:val="22"/>
          <w:szCs w:val="22"/>
        </w:rPr>
      </w:pPr>
      <w:r w:rsidRPr="00C02A2C">
        <w:rPr>
          <w:rFonts w:ascii="Verdana" w:hAnsi="Verdana"/>
          <w:sz w:val="22"/>
          <w:szCs w:val="22"/>
        </w:rPr>
        <w:t xml:space="preserve">Texas regulations provide for transfer of equipment when the two parties agree “that the terms of the transfer are based on the fair market value of the AT device determined in accordance with generally accepted accounting principles.”  </w:t>
      </w:r>
    </w:p>
    <w:p w:rsidR="004E57F8" w:rsidRPr="00C02A2C" w:rsidRDefault="00CE21B7" w:rsidP="00CE21B7">
      <w:pPr>
        <w:pStyle w:val="ListParagraph"/>
        <w:numPr>
          <w:ilvl w:val="0"/>
          <w:numId w:val="2"/>
        </w:numPr>
        <w:rPr>
          <w:rFonts w:ascii="Verdana" w:hAnsi="Verdana"/>
          <w:sz w:val="22"/>
          <w:szCs w:val="22"/>
        </w:rPr>
      </w:pPr>
      <w:r w:rsidRPr="00C02A2C">
        <w:rPr>
          <w:rFonts w:ascii="Verdana" w:hAnsi="Verdana"/>
          <w:sz w:val="22"/>
          <w:szCs w:val="22"/>
        </w:rPr>
        <w:t>Virginia code allows for “permissive transfer</w:t>
      </w:r>
      <w:r w:rsidRPr="00C02A2C">
        <w:rPr>
          <w:rFonts w:ascii="Verdana" w:hAnsi="Verdana" w:cstheme="minorHAnsi"/>
          <w:sz w:val="22"/>
          <w:szCs w:val="22"/>
        </w:rPr>
        <w:t xml:space="preserve">” </w:t>
      </w:r>
      <w:r w:rsidRPr="00C02A2C">
        <w:rPr>
          <w:rFonts w:ascii="Verdana" w:eastAsiaTheme="minorHAnsi" w:hAnsi="Verdana" w:cstheme="minorHAnsi"/>
          <w:color w:val="000000"/>
          <w:sz w:val="22"/>
          <w:szCs w:val="22"/>
        </w:rPr>
        <w:t xml:space="preserve">when the student exits the school division and the device </w:t>
      </w:r>
      <w:r w:rsidRPr="00C02A2C">
        <w:rPr>
          <w:rFonts w:ascii="Verdana" w:hAnsi="Verdana" w:cstheme="minorHAnsi"/>
          <w:sz w:val="22"/>
          <w:szCs w:val="22"/>
        </w:rPr>
        <w:t>“</w:t>
      </w:r>
      <w:r w:rsidRPr="00C02A2C">
        <w:rPr>
          <w:rFonts w:ascii="Verdana" w:eastAsiaTheme="minorHAnsi" w:hAnsi="Verdana" w:cstheme="minorHAnsi"/>
          <w:color w:val="000000"/>
          <w:sz w:val="22"/>
          <w:szCs w:val="22"/>
        </w:rPr>
        <w:t>continues to be necessary to the student’s functional capabilities</w:t>
      </w:r>
      <w:r w:rsidRPr="00C02A2C">
        <w:rPr>
          <w:rFonts w:ascii="Verdana" w:hAnsi="Verdana" w:cstheme="minorHAnsi"/>
          <w:sz w:val="22"/>
          <w:szCs w:val="22"/>
        </w:rPr>
        <w:t>”.</w:t>
      </w:r>
    </w:p>
    <w:p w:rsidR="000469AB" w:rsidRPr="00C02A2C" w:rsidRDefault="000469AB" w:rsidP="00CE21B7">
      <w:pPr>
        <w:pStyle w:val="ListParagraph"/>
        <w:numPr>
          <w:ilvl w:val="0"/>
          <w:numId w:val="2"/>
        </w:numPr>
        <w:rPr>
          <w:rFonts w:ascii="Verdana" w:hAnsi="Verdana"/>
          <w:sz w:val="22"/>
          <w:szCs w:val="22"/>
        </w:rPr>
      </w:pPr>
      <w:r w:rsidRPr="00C02A2C">
        <w:rPr>
          <w:rFonts w:ascii="Verdana" w:hAnsi="Verdana" w:cstheme="minorHAnsi"/>
          <w:sz w:val="22"/>
          <w:szCs w:val="22"/>
        </w:rPr>
        <w:t>Minnesota statute separately addresses transfer between agencies (e.g. Department of Education or school district to the state VR agency) and transfer between school districts.</w:t>
      </w:r>
    </w:p>
    <w:p w:rsidR="005F6DFE" w:rsidRPr="008A5442" w:rsidRDefault="005F6DFE" w:rsidP="00262D6D">
      <w:pPr>
        <w:rPr>
          <w:rFonts w:ascii="Verdana" w:hAnsi="Verdana"/>
          <w:sz w:val="22"/>
          <w:szCs w:val="22"/>
        </w:rPr>
      </w:pPr>
    </w:p>
    <w:p w:rsidR="005F6DFE" w:rsidRPr="008A5442" w:rsidRDefault="005F6DFE" w:rsidP="008B6CB6">
      <w:pPr>
        <w:pStyle w:val="Heading2"/>
        <w:rPr>
          <w:rFonts w:ascii="Verdana" w:hAnsi="Verdana"/>
          <w:b/>
          <w:color w:val="auto"/>
          <w:sz w:val="24"/>
          <w:szCs w:val="24"/>
        </w:rPr>
      </w:pPr>
      <w:r w:rsidRPr="008A5442">
        <w:rPr>
          <w:rFonts w:ascii="Verdana" w:hAnsi="Verdana"/>
          <w:b/>
          <w:color w:val="auto"/>
          <w:sz w:val="24"/>
          <w:szCs w:val="24"/>
        </w:rPr>
        <w:t>Transfer Barriers</w:t>
      </w:r>
    </w:p>
    <w:p w:rsidR="006D3C38" w:rsidRPr="008A5442" w:rsidRDefault="00A63A51" w:rsidP="00262D6D">
      <w:pPr>
        <w:rPr>
          <w:rFonts w:ascii="Verdana" w:hAnsi="Verdana"/>
          <w:sz w:val="22"/>
          <w:szCs w:val="22"/>
        </w:rPr>
      </w:pPr>
      <w:r w:rsidRPr="008A5442">
        <w:rPr>
          <w:rFonts w:ascii="Verdana" w:hAnsi="Verdana"/>
          <w:sz w:val="22"/>
          <w:szCs w:val="22"/>
        </w:rPr>
        <w:t>D</w:t>
      </w:r>
      <w:r w:rsidR="00BC22E6" w:rsidRPr="008A5442">
        <w:rPr>
          <w:rFonts w:ascii="Verdana" w:hAnsi="Verdana"/>
          <w:sz w:val="22"/>
          <w:szCs w:val="22"/>
        </w:rPr>
        <w:t xml:space="preserve">espite </w:t>
      </w:r>
      <w:r w:rsidR="005F6DFE" w:rsidRPr="008A5442">
        <w:rPr>
          <w:rFonts w:ascii="Verdana" w:hAnsi="Verdana"/>
          <w:sz w:val="22"/>
          <w:szCs w:val="22"/>
        </w:rPr>
        <w:t>permissive provisions of fede</w:t>
      </w:r>
      <w:r w:rsidRPr="008A5442">
        <w:rPr>
          <w:rFonts w:ascii="Verdana" w:hAnsi="Verdana"/>
          <w:sz w:val="22"/>
          <w:szCs w:val="22"/>
        </w:rPr>
        <w:t>ral, state and local policies, the following barriers may need to be addressed in order to implement device transfer practices:</w:t>
      </w:r>
    </w:p>
    <w:p w:rsidR="006D3C38" w:rsidRPr="008A5442" w:rsidRDefault="00FB6BD9" w:rsidP="005915AF">
      <w:pPr>
        <w:pStyle w:val="ListParagraph"/>
        <w:numPr>
          <w:ilvl w:val="0"/>
          <w:numId w:val="2"/>
        </w:numPr>
        <w:rPr>
          <w:rFonts w:ascii="Verdana" w:hAnsi="Verdana"/>
          <w:sz w:val="22"/>
          <w:szCs w:val="22"/>
        </w:rPr>
      </w:pPr>
      <w:r w:rsidRPr="008A5442">
        <w:rPr>
          <w:rFonts w:ascii="Verdana" w:hAnsi="Verdana"/>
          <w:sz w:val="22"/>
          <w:szCs w:val="22"/>
        </w:rPr>
        <w:t>Under permissive policies</w:t>
      </w:r>
      <w:r w:rsidR="00260837" w:rsidRPr="008A5442">
        <w:rPr>
          <w:rFonts w:ascii="Verdana" w:hAnsi="Verdana"/>
          <w:sz w:val="22"/>
          <w:szCs w:val="22"/>
        </w:rPr>
        <w:t>, s</w:t>
      </w:r>
      <w:r w:rsidR="006D3C38" w:rsidRPr="008A5442">
        <w:rPr>
          <w:rFonts w:ascii="Verdana" w:hAnsi="Verdana"/>
          <w:sz w:val="22"/>
          <w:szCs w:val="22"/>
        </w:rPr>
        <w:t xml:space="preserve">chools are simply reluctant to turn loose of </w:t>
      </w:r>
      <w:r w:rsidRPr="008A5442">
        <w:rPr>
          <w:rFonts w:ascii="Verdana" w:hAnsi="Verdana"/>
          <w:sz w:val="22"/>
          <w:szCs w:val="22"/>
        </w:rPr>
        <w:t xml:space="preserve">AT </w:t>
      </w:r>
      <w:r w:rsidR="006D3C38" w:rsidRPr="008A5442">
        <w:rPr>
          <w:rFonts w:ascii="Verdana" w:hAnsi="Verdana"/>
          <w:sz w:val="22"/>
          <w:szCs w:val="22"/>
        </w:rPr>
        <w:t xml:space="preserve">devices </w:t>
      </w:r>
      <w:r w:rsidR="00ED3E6A" w:rsidRPr="008A5442">
        <w:rPr>
          <w:rFonts w:ascii="Verdana" w:hAnsi="Verdana"/>
          <w:sz w:val="22"/>
          <w:szCs w:val="22"/>
        </w:rPr>
        <w:t xml:space="preserve">“just in case” </w:t>
      </w:r>
      <w:r w:rsidR="0090089F" w:rsidRPr="008A5442">
        <w:rPr>
          <w:rFonts w:ascii="Verdana" w:hAnsi="Verdana"/>
          <w:sz w:val="22"/>
          <w:szCs w:val="22"/>
        </w:rPr>
        <w:t>they might need</w:t>
      </w:r>
      <w:r w:rsidR="002C7D41" w:rsidRPr="008A5442">
        <w:rPr>
          <w:rFonts w:ascii="Verdana" w:hAnsi="Verdana"/>
          <w:sz w:val="22"/>
          <w:szCs w:val="22"/>
        </w:rPr>
        <w:t xml:space="preserve"> or be able to use</w:t>
      </w:r>
      <w:r w:rsidR="0090089F" w:rsidRPr="008A5442">
        <w:rPr>
          <w:rFonts w:ascii="Verdana" w:hAnsi="Verdana"/>
          <w:sz w:val="22"/>
          <w:szCs w:val="22"/>
        </w:rPr>
        <w:t xml:space="preserve"> them someday.  </w:t>
      </w:r>
    </w:p>
    <w:p w:rsidR="00262D6D" w:rsidRPr="008A5442" w:rsidRDefault="0090089F" w:rsidP="00262D6D">
      <w:pPr>
        <w:pStyle w:val="ListParagraph"/>
        <w:numPr>
          <w:ilvl w:val="0"/>
          <w:numId w:val="2"/>
        </w:numPr>
        <w:rPr>
          <w:rFonts w:ascii="Verdana" w:hAnsi="Verdana"/>
          <w:sz w:val="22"/>
          <w:szCs w:val="22"/>
        </w:rPr>
      </w:pPr>
      <w:r w:rsidRPr="008A5442">
        <w:rPr>
          <w:rFonts w:ascii="Verdana" w:hAnsi="Verdana"/>
          <w:sz w:val="22"/>
          <w:szCs w:val="22"/>
        </w:rPr>
        <w:t xml:space="preserve">There </w:t>
      </w:r>
      <w:r w:rsidR="000469AB" w:rsidRPr="008A5442">
        <w:rPr>
          <w:rFonts w:ascii="Verdana" w:hAnsi="Verdana"/>
          <w:sz w:val="22"/>
          <w:szCs w:val="22"/>
        </w:rPr>
        <w:t xml:space="preserve">is </w:t>
      </w:r>
      <w:r w:rsidRPr="008A5442">
        <w:rPr>
          <w:rFonts w:ascii="Verdana" w:hAnsi="Verdana"/>
          <w:sz w:val="22"/>
          <w:szCs w:val="22"/>
        </w:rPr>
        <w:t>difficulty in determining fair market value when a “buy-out” is proposed to the school.  Many schools do not have staff expertise to identify an appropriate “sale price”</w:t>
      </w:r>
      <w:r w:rsidR="00260837" w:rsidRPr="008A5442">
        <w:rPr>
          <w:rFonts w:ascii="Verdana" w:hAnsi="Verdana"/>
          <w:sz w:val="22"/>
          <w:szCs w:val="22"/>
        </w:rPr>
        <w:t xml:space="preserve"> and many of the purchasing entities lack that same expertise</w:t>
      </w:r>
      <w:r w:rsidRPr="008A5442">
        <w:rPr>
          <w:rFonts w:ascii="Verdana" w:hAnsi="Verdana"/>
          <w:sz w:val="22"/>
          <w:szCs w:val="22"/>
        </w:rPr>
        <w:t xml:space="preserve">.  </w:t>
      </w:r>
    </w:p>
    <w:p w:rsidR="000469AB" w:rsidRPr="008A5442" w:rsidRDefault="00A63A51" w:rsidP="00717EAD">
      <w:pPr>
        <w:pStyle w:val="ListParagraph"/>
        <w:numPr>
          <w:ilvl w:val="0"/>
          <w:numId w:val="2"/>
        </w:numPr>
        <w:rPr>
          <w:rFonts w:ascii="Verdana" w:hAnsi="Verdana"/>
          <w:sz w:val="22"/>
          <w:szCs w:val="22"/>
        </w:rPr>
      </w:pPr>
      <w:r w:rsidRPr="008A5442">
        <w:rPr>
          <w:rFonts w:ascii="Verdana" w:hAnsi="Verdana"/>
          <w:sz w:val="22"/>
          <w:szCs w:val="22"/>
        </w:rPr>
        <w:t>T</w:t>
      </w:r>
      <w:r w:rsidR="0090089F" w:rsidRPr="008A5442">
        <w:rPr>
          <w:rFonts w:ascii="Verdana" w:hAnsi="Verdana"/>
          <w:sz w:val="22"/>
          <w:szCs w:val="22"/>
        </w:rPr>
        <w:t xml:space="preserve">he relationship between schools and other agencies </w:t>
      </w:r>
      <w:r w:rsidRPr="008A5442">
        <w:rPr>
          <w:rFonts w:ascii="Verdana" w:hAnsi="Verdana"/>
          <w:sz w:val="22"/>
          <w:szCs w:val="22"/>
        </w:rPr>
        <w:t xml:space="preserve">may </w:t>
      </w:r>
      <w:r w:rsidR="00FB6BD9" w:rsidRPr="008A5442">
        <w:rPr>
          <w:rFonts w:ascii="Verdana" w:hAnsi="Verdana"/>
          <w:sz w:val="22"/>
          <w:szCs w:val="22"/>
        </w:rPr>
        <w:t xml:space="preserve">not </w:t>
      </w:r>
      <w:r w:rsidRPr="008A5442">
        <w:rPr>
          <w:rFonts w:ascii="Verdana" w:hAnsi="Verdana"/>
          <w:sz w:val="22"/>
          <w:szCs w:val="22"/>
        </w:rPr>
        <w:t xml:space="preserve">be </w:t>
      </w:r>
      <w:r w:rsidR="00FB6BD9" w:rsidRPr="008A5442">
        <w:rPr>
          <w:rFonts w:ascii="Verdana" w:hAnsi="Verdana"/>
          <w:sz w:val="22"/>
          <w:szCs w:val="22"/>
        </w:rPr>
        <w:t xml:space="preserve">supportive of </w:t>
      </w:r>
      <w:r w:rsidR="0090089F" w:rsidRPr="008A5442">
        <w:rPr>
          <w:rFonts w:ascii="Verdana" w:hAnsi="Verdana"/>
          <w:sz w:val="22"/>
          <w:szCs w:val="22"/>
        </w:rPr>
        <w:t xml:space="preserve">voluntary device transfer.  </w:t>
      </w:r>
      <w:r w:rsidR="00FB6BD9" w:rsidRPr="008A5442">
        <w:rPr>
          <w:rFonts w:ascii="Verdana" w:hAnsi="Verdana"/>
          <w:sz w:val="22"/>
          <w:szCs w:val="22"/>
        </w:rPr>
        <w:t xml:space="preserve">This can be the case when there have been less than positive interactions between the school and </w:t>
      </w:r>
      <w:r w:rsidR="005915AF" w:rsidRPr="008A5442">
        <w:rPr>
          <w:rFonts w:ascii="Verdana" w:hAnsi="Verdana"/>
          <w:sz w:val="22"/>
          <w:szCs w:val="22"/>
        </w:rPr>
        <w:t xml:space="preserve">other agencies </w:t>
      </w:r>
      <w:r w:rsidR="0090089F" w:rsidRPr="008A5442">
        <w:rPr>
          <w:rFonts w:ascii="Verdana" w:hAnsi="Verdana"/>
          <w:sz w:val="22"/>
          <w:szCs w:val="22"/>
        </w:rPr>
        <w:t xml:space="preserve">in </w:t>
      </w:r>
      <w:r w:rsidR="00FB6BD9" w:rsidRPr="008A5442">
        <w:rPr>
          <w:rFonts w:ascii="Verdana" w:hAnsi="Verdana"/>
          <w:sz w:val="22"/>
          <w:szCs w:val="22"/>
        </w:rPr>
        <w:t xml:space="preserve">past </w:t>
      </w:r>
      <w:r w:rsidR="0090089F" w:rsidRPr="008A5442">
        <w:rPr>
          <w:rFonts w:ascii="Verdana" w:hAnsi="Verdana"/>
          <w:sz w:val="22"/>
          <w:szCs w:val="22"/>
        </w:rPr>
        <w:t xml:space="preserve">efforts to </w:t>
      </w:r>
      <w:r w:rsidR="000469AB" w:rsidRPr="008A5442">
        <w:rPr>
          <w:rFonts w:ascii="Verdana" w:hAnsi="Verdana"/>
          <w:sz w:val="22"/>
          <w:szCs w:val="22"/>
        </w:rPr>
        <w:t>collaborate.</w:t>
      </w:r>
    </w:p>
    <w:p w:rsidR="002C7D41" w:rsidRPr="008A5442" w:rsidRDefault="002C7D41" w:rsidP="00717EAD">
      <w:pPr>
        <w:pStyle w:val="ListParagraph"/>
        <w:numPr>
          <w:ilvl w:val="0"/>
          <w:numId w:val="2"/>
        </w:numPr>
        <w:rPr>
          <w:rFonts w:ascii="Verdana" w:hAnsi="Verdana"/>
          <w:sz w:val="22"/>
          <w:szCs w:val="22"/>
        </w:rPr>
      </w:pPr>
      <w:r w:rsidRPr="008A5442">
        <w:rPr>
          <w:rFonts w:ascii="Verdana" w:hAnsi="Verdana"/>
          <w:sz w:val="22"/>
          <w:szCs w:val="22"/>
        </w:rPr>
        <w:lastRenderedPageBreak/>
        <w:t xml:space="preserve">There is little incentive to take on responsibility for establishing </w:t>
      </w:r>
      <w:r w:rsidR="0017423C" w:rsidRPr="008A5442">
        <w:rPr>
          <w:rFonts w:ascii="Verdana" w:hAnsi="Verdana"/>
          <w:sz w:val="22"/>
          <w:szCs w:val="22"/>
        </w:rPr>
        <w:t xml:space="preserve">or implementing </w:t>
      </w:r>
      <w:r w:rsidRPr="008A5442">
        <w:rPr>
          <w:rFonts w:ascii="Verdana" w:hAnsi="Verdana"/>
          <w:sz w:val="22"/>
          <w:szCs w:val="22"/>
        </w:rPr>
        <w:t xml:space="preserve">procedures that support equipment transfer especially if </w:t>
      </w:r>
      <w:r w:rsidR="0017423C" w:rsidRPr="008A5442">
        <w:rPr>
          <w:rFonts w:ascii="Verdana" w:hAnsi="Verdana"/>
          <w:sz w:val="22"/>
          <w:szCs w:val="22"/>
        </w:rPr>
        <w:t xml:space="preserve">such procedures </w:t>
      </w:r>
      <w:r w:rsidRPr="008A5442">
        <w:rPr>
          <w:rFonts w:ascii="Verdana" w:hAnsi="Verdana"/>
          <w:sz w:val="22"/>
          <w:szCs w:val="22"/>
        </w:rPr>
        <w:t>require an</w:t>
      </w:r>
      <w:r w:rsidR="0017423C" w:rsidRPr="008A5442">
        <w:rPr>
          <w:rFonts w:ascii="Verdana" w:hAnsi="Verdana"/>
          <w:sz w:val="22"/>
          <w:szCs w:val="22"/>
        </w:rPr>
        <w:t xml:space="preserve">y kind of </w:t>
      </w:r>
      <w:r w:rsidRPr="008A5442">
        <w:rPr>
          <w:rFonts w:ascii="Verdana" w:hAnsi="Verdana"/>
          <w:sz w:val="22"/>
          <w:szCs w:val="22"/>
        </w:rPr>
        <w:t xml:space="preserve">investment of resources.  </w:t>
      </w:r>
    </w:p>
    <w:p w:rsidR="0006599C" w:rsidRPr="008A5442" w:rsidRDefault="00A63A51" w:rsidP="0006599C">
      <w:pPr>
        <w:pStyle w:val="ListParagraph"/>
        <w:numPr>
          <w:ilvl w:val="0"/>
          <w:numId w:val="2"/>
        </w:numPr>
        <w:rPr>
          <w:rFonts w:ascii="Verdana" w:hAnsi="Verdana"/>
          <w:b/>
          <w:sz w:val="20"/>
        </w:rPr>
      </w:pPr>
      <w:r w:rsidRPr="008A5442">
        <w:rPr>
          <w:rFonts w:ascii="Verdana" w:hAnsi="Verdana"/>
          <w:sz w:val="22"/>
          <w:szCs w:val="22"/>
        </w:rPr>
        <w:t>T</w:t>
      </w:r>
      <w:r w:rsidR="0090089F" w:rsidRPr="008A5442">
        <w:rPr>
          <w:rFonts w:ascii="Verdana" w:hAnsi="Verdana"/>
          <w:sz w:val="22"/>
          <w:szCs w:val="22"/>
        </w:rPr>
        <w:t>ransfer of AT device</w:t>
      </w:r>
      <w:r w:rsidR="002C7D41" w:rsidRPr="008A5442">
        <w:rPr>
          <w:rFonts w:ascii="Verdana" w:hAnsi="Verdana"/>
          <w:sz w:val="22"/>
          <w:szCs w:val="22"/>
        </w:rPr>
        <w:t xml:space="preserve">s is a low priority </w:t>
      </w:r>
      <w:r w:rsidR="0017423C" w:rsidRPr="008A5442">
        <w:rPr>
          <w:rFonts w:ascii="Verdana" w:hAnsi="Verdana"/>
          <w:sz w:val="22"/>
          <w:szCs w:val="22"/>
        </w:rPr>
        <w:t>compared to other high</w:t>
      </w:r>
      <w:r w:rsidR="00AA3B29" w:rsidRPr="008A5442">
        <w:rPr>
          <w:rFonts w:ascii="Verdana" w:hAnsi="Verdana"/>
          <w:sz w:val="22"/>
          <w:szCs w:val="22"/>
        </w:rPr>
        <w:t>-</w:t>
      </w:r>
      <w:r w:rsidR="0017423C" w:rsidRPr="008A5442">
        <w:rPr>
          <w:rFonts w:ascii="Verdana" w:hAnsi="Verdana"/>
          <w:sz w:val="22"/>
          <w:szCs w:val="22"/>
        </w:rPr>
        <w:t xml:space="preserve">profile topics </w:t>
      </w:r>
      <w:r w:rsidR="002C7D41" w:rsidRPr="008A5442">
        <w:rPr>
          <w:rFonts w:ascii="Verdana" w:hAnsi="Verdana"/>
          <w:sz w:val="22"/>
          <w:szCs w:val="22"/>
        </w:rPr>
        <w:t>and it is difficult to elevate the issue to a priority level.</w:t>
      </w:r>
    </w:p>
    <w:p w:rsidR="0006599C" w:rsidRPr="008A5442" w:rsidRDefault="0006599C" w:rsidP="0006599C">
      <w:pPr>
        <w:rPr>
          <w:rFonts w:ascii="Verdana" w:hAnsi="Verdana"/>
          <w:b/>
          <w:sz w:val="20"/>
        </w:rPr>
      </w:pPr>
    </w:p>
    <w:p w:rsidR="008A39A2" w:rsidRDefault="001D03E6" w:rsidP="008A39A2">
      <w:pPr>
        <w:pStyle w:val="Heading2"/>
        <w:rPr>
          <w:rFonts w:ascii="Verdana" w:hAnsi="Verdana"/>
          <w:b/>
          <w:color w:val="auto"/>
          <w:sz w:val="24"/>
          <w:szCs w:val="24"/>
        </w:rPr>
      </w:pPr>
      <w:r w:rsidRPr="008A5442">
        <w:rPr>
          <w:rFonts w:ascii="Verdana" w:hAnsi="Verdana"/>
          <w:b/>
          <w:color w:val="auto"/>
          <w:sz w:val="24"/>
          <w:szCs w:val="24"/>
        </w:rPr>
        <w:t>Policy/Program Options</w:t>
      </w:r>
    </w:p>
    <w:p w:rsidR="0006599C" w:rsidRPr="008A39A2" w:rsidRDefault="00F3308A" w:rsidP="008A39A2">
      <w:pPr>
        <w:rPr>
          <w:rFonts w:ascii="Verdana" w:hAnsi="Verdana"/>
          <w:sz w:val="22"/>
          <w:szCs w:val="22"/>
        </w:rPr>
      </w:pPr>
      <w:r w:rsidRPr="008A39A2">
        <w:rPr>
          <w:rFonts w:ascii="Verdana" w:hAnsi="Verdana"/>
          <w:sz w:val="22"/>
          <w:szCs w:val="22"/>
        </w:rPr>
        <w:t>A varie</w:t>
      </w:r>
      <w:bookmarkStart w:id="0" w:name="_GoBack"/>
      <w:bookmarkEnd w:id="0"/>
      <w:r w:rsidRPr="008A39A2">
        <w:rPr>
          <w:rFonts w:ascii="Verdana" w:hAnsi="Verdana"/>
          <w:sz w:val="22"/>
          <w:szCs w:val="22"/>
        </w:rPr>
        <w:t xml:space="preserve">ty of policy and program options have been suggested to support AT transfer.  All have advantages and disadvantages </w:t>
      </w:r>
      <w:r w:rsidR="006133ED" w:rsidRPr="008A39A2">
        <w:rPr>
          <w:rFonts w:ascii="Verdana" w:hAnsi="Verdana"/>
          <w:sz w:val="22"/>
          <w:szCs w:val="22"/>
        </w:rPr>
        <w:t xml:space="preserve">that influence their </w:t>
      </w:r>
      <w:r w:rsidR="00D345D0" w:rsidRPr="008A39A2">
        <w:rPr>
          <w:rFonts w:ascii="Verdana" w:hAnsi="Verdana"/>
          <w:sz w:val="22"/>
          <w:szCs w:val="22"/>
        </w:rPr>
        <w:t>viability.</w:t>
      </w:r>
    </w:p>
    <w:p w:rsidR="00086CAD" w:rsidRPr="008A5442" w:rsidRDefault="0006599C" w:rsidP="0090089F">
      <w:pPr>
        <w:rPr>
          <w:rFonts w:ascii="Verdana" w:hAnsi="Verdana"/>
          <w:sz w:val="22"/>
          <w:szCs w:val="22"/>
        </w:rPr>
      </w:pPr>
      <w:r w:rsidRPr="008A5442">
        <w:rPr>
          <w:rFonts w:ascii="Verdana" w:hAnsi="Verdana"/>
          <w:sz w:val="22"/>
          <w:szCs w:val="22"/>
        </w:rPr>
        <w:t xml:space="preserve"> </w:t>
      </w:r>
    </w:p>
    <w:p w:rsidR="007B364F" w:rsidRPr="00C02A2C" w:rsidRDefault="00802AC3" w:rsidP="00815EA7">
      <w:pPr>
        <w:rPr>
          <w:rFonts w:ascii="Verdana" w:hAnsi="Verdana"/>
          <w:i/>
          <w:sz w:val="22"/>
          <w:szCs w:val="22"/>
        </w:rPr>
      </w:pPr>
      <w:r w:rsidRPr="008A5442">
        <w:rPr>
          <w:rFonts w:ascii="Verdana" w:hAnsi="Verdana"/>
          <w:i/>
        </w:rPr>
        <w:t>1</w:t>
      </w:r>
      <w:r w:rsidRPr="00C02A2C">
        <w:rPr>
          <w:rFonts w:ascii="Verdana" w:hAnsi="Verdana"/>
          <w:i/>
          <w:sz w:val="22"/>
          <w:szCs w:val="22"/>
        </w:rPr>
        <w:t xml:space="preserve">)  </w:t>
      </w:r>
      <w:r w:rsidR="003765B0" w:rsidRPr="00C02A2C">
        <w:rPr>
          <w:rFonts w:ascii="Verdana" w:hAnsi="Verdana"/>
          <w:i/>
          <w:sz w:val="22"/>
          <w:szCs w:val="22"/>
        </w:rPr>
        <w:t xml:space="preserve">State </w:t>
      </w:r>
      <w:r w:rsidR="007B364F" w:rsidRPr="00C02A2C">
        <w:rPr>
          <w:rFonts w:ascii="Verdana" w:hAnsi="Verdana"/>
          <w:i/>
          <w:sz w:val="22"/>
          <w:szCs w:val="22"/>
        </w:rPr>
        <w:t>device transfer policy directive</w:t>
      </w:r>
      <w:r w:rsidR="00B12AAD" w:rsidRPr="00C02A2C">
        <w:rPr>
          <w:rFonts w:ascii="Verdana" w:hAnsi="Verdana"/>
          <w:i/>
          <w:sz w:val="22"/>
          <w:szCs w:val="22"/>
        </w:rPr>
        <w:t xml:space="preserve"> for school purchased AT</w:t>
      </w:r>
      <w:r w:rsidR="00A97883" w:rsidRPr="00C02A2C">
        <w:rPr>
          <w:rFonts w:ascii="Verdana" w:hAnsi="Verdana"/>
          <w:i/>
          <w:sz w:val="22"/>
          <w:szCs w:val="22"/>
        </w:rPr>
        <w:t xml:space="preserve">.  </w:t>
      </w:r>
    </w:p>
    <w:p w:rsidR="0006599C" w:rsidRPr="00C02A2C" w:rsidRDefault="007B364F" w:rsidP="00815EA7">
      <w:pPr>
        <w:rPr>
          <w:rFonts w:ascii="Verdana" w:hAnsi="Verdana"/>
          <w:sz w:val="22"/>
          <w:szCs w:val="22"/>
        </w:rPr>
      </w:pPr>
      <w:r w:rsidRPr="00C02A2C">
        <w:rPr>
          <w:rFonts w:ascii="Verdana" w:hAnsi="Verdana"/>
          <w:sz w:val="22"/>
          <w:szCs w:val="22"/>
        </w:rPr>
        <w:t>One option for increasing AT transfer would be to e</w:t>
      </w:r>
      <w:r w:rsidR="00802AC3" w:rsidRPr="00C02A2C">
        <w:rPr>
          <w:rFonts w:ascii="Verdana" w:hAnsi="Verdana"/>
          <w:sz w:val="22"/>
          <w:szCs w:val="22"/>
        </w:rPr>
        <w:t xml:space="preserve">stablish a </w:t>
      </w:r>
      <w:r w:rsidR="003765B0" w:rsidRPr="00C02A2C">
        <w:rPr>
          <w:rFonts w:ascii="Verdana" w:hAnsi="Verdana"/>
          <w:sz w:val="22"/>
          <w:szCs w:val="22"/>
        </w:rPr>
        <w:t xml:space="preserve">state </w:t>
      </w:r>
      <w:r w:rsidRPr="00C02A2C">
        <w:rPr>
          <w:rFonts w:ascii="Verdana" w:hAnsi="Verdana"/>
          <w:sz w:val="22"/>
          <w:szCs w:val="22"/>
        </w:rPr>
        <w:t xml:space="preserve">policy </w:t>
      </w:r>
      <w:r w:rsidR="006133ED" w:rsidRPr="00C02A2C">
        <w:rPr>
          <w:rFonts w:ascii="Verdana" w:hAnsi="Verdana"/>
          <w:sz w:val="22"/>
          <w:szCs w:val="22"/>
        </w:rPr>
        <w:t>applicable to all school-</w:t>
      </w:r>
      <w:r w:rsidR="003765B0" w:rsidRPr="00C02A2C">
        <w:rPr>
          <w:rFonts w:ascii="Verdana" w:hAnsi="Verdana"/>
          <w:sz w:val="22"/>
          <w:szCs w:val="22"/>
        </w:rPr>
        <w:t xml:space="preserve">purchased AT </w:t>
      </w:r>
      <w:r w:rsidR="00802AC3" w:rsidRPr="00C02A2C">
        <w:rPr>
          <w:rFonts w:ascii="Verdana" w:hAnsi="Verdana"/>
          <w:sz w:val="22"/>
          <w:szCs w:val="22"/>
        </w:rPr>
        <w:t xml:space="preserve">that </w:t>
      </w:r>
      <w:r w:rsidR="00815EA7" w:rsidRPr="00C02A2C">
        <w:rPr>
          <w:rFonts w:ascii="Verdana" w:hAnsi="Verdana"/>
          <w:sz w:val="22"/>
          <w:szCs w:val="22"/>
        </w:rPr>
        <w:t>presum</w:t>
      </w:r>
      <w:r w:rsidRPr="00C02A2C">
        <w:rPr>
          <w:rFonts w:ascii="Verdana" w:hAnsi="Verdana"/>
          <w:sz w:val="22"/>
          <w:szCs w:val="22"/>
        </w:rPr>
        <w:t>es</w:t>
      </w:r>
      <w:r w:rsidR="00815EA7" w:rsidRPr="00C02A2C">
        <w:rPr>
          <w:rFonts w:ascii="Verdana" w:hAnsi="Verdana"/>
          <w:sz w:val="22"/>
          <w:szCs w:val="22"/>
        </w:rPr>
        <w:t xml:space="preserve"> devices used by a particular student are no longer needed by the school when that student transitions out of school</w:t>
      </w:r>
      <w:r w:rsidR="001D03E6" w:rsidRPr="00C02A2C">
        <w:rPr>
          <w:rFonts w:ascii="Verdana" w:hAnsi="Verdana"/>
          <w:sz w:val="22"/>
          <w:szCs w:val="22"/>
        </w:rPr>
        <w:t xml:space="preserve">.  </w:t>
      </w:r>
      <w:r w:rsidRPr="00C02A2C">
        <w:rPr>
          <w:rFonts w:ascii="Verdana" w:hAnsi="Verdana"/>
          <w:sz w:val="22"/>
          <w:szCs w:val="22"/>
        </w:rPr>
        <w:t xml:space="preserve">Such a </w:t>
      </w:r>
      <w:r w:rsidR="001D03E6" w:rsidRPr="00C02A2C">
        <w:rPr>
          <w:rFonts w:ascii="Verdana" w:hAnsi="Verdana"/>
          <w:sz w:val="22"/>
          <w:szCs w:val="22"/>
        </w:rPr>
        <w:t xml:space="preserve">policy could </w:t>
      </w:r>
      <w:r w:rsidRPr="00C02A2C">
        <w:rPr>
          <w:rFonts w:ascii="Verdana" w:hAnsi="Verdana"/>
          <w:sz w:val="22"/>
          <w:szCs w:val="22"/>
        </w:rPr>
        <w:t xml:space="preserve">affirmatively </w:t>
      </w:r>
      <w:r w:rsidR="001D03E6" w:rsidRPr="00C02A2C">
        <w:rPr>
          <w:rFonts w:ascii="Verdana" w:hAnsi="Verdana"/>
          <w:sz w:val="22"/>
          <w:szCs w:val="22"/>
        </w:rPr>
        <w:t xml:space="preserve">require that devices </w:t>
      </w:r>
      <w:r w:rsidR="00815EA7" w:rsidRPr="00C02A2C">
        <w:rPr>
          <w:rFonts w:ascii="Verdana" w:hAnsi="Verdana"/>
          <w:sz w:val="22"/>
          <w:szCs w:val="22"/>
        </w:rPr>
        <w:t>transfer with the student to their next environment</w:t>
      </w:r>
      <w:r w:rsidR="001D03E6" w:rsidRPr="00C02A2C">
        <w:rPr>
          <w:rFonts w:ascii="Verdana" w:hAnsi="Verdana"/>
          <w:sz w:val="22"/>
          <w:szCs w:val="22"/>
        </w:rPr>
        <w:t xml:space="preserve"> unless there </w:t>
      </w:r>
      <w:r w:rsidR="006133ED" w:rsidRPr="00C02A2C">
        <w:rPr>
          <w:rFonts w:ascii="Verdana" w:hAnsi="Verdana"/>
          <w:sz w:val="22"/>
          <w:szCs w:val="22"/>
        </w:rPr>
        <w:t xml:space="preserve">is </w:t>
      </w:r>
      <w:r w:rsidR="001D03E6" w:rsidRPr="00C02A2C">
        <w:rPr>
          <w:rFonts w:ascii="Verdana" w:hAnsi="Verdana"/>
          <w:sz w:val="22"/>
          <w:szCs w:val="22"/>
        </w:rPr>
        <w:t xml:space="preserve">documentation </w:t>
      </w:r>
      <w:r w:rsidR="006133ED" w:rsidRPr="00C02A2C">
        <w:rPr>
          <w:rFonts w:ascii="Verdana" w:hAnsi="Verdana"/>
          <w:sz w:val="22"/>
          <w:szCs w:val="22"/>
        </w:rPr>
        <w:t>that the device is</w:t>
      </w:r>
      <w:r w:rsidRPr="00C02A2C">
        <w:rPr>
          <w:rFonts w:ascii="Verdana" w:hAnsi="Verdana"/>
          <w:sz w:val="22"/>
          <w:szCs w:val="22"/>
        </w:rPr>
        <w:t xml:space="preserve"> not appropriate for</w:t>
      </w:r>
      <w:r w:rsidR="006133ED" w:rsidRPr="00C02A2C">
        <w:rPr>
          <w:rFonts w:ascii="Verdana" w:hAnsi="Verdana"/>
          <w:sz w:val="22"/>
          <w:szCs w:val="22"/>
        </w:rPr>
        <w:t xml:space="preserve"> or needed in the post-graduation</w:t>
      </w:r>
      <w:r w:rsidRPr="00C02A2C">
        <w:rPr>
          <w:rFonts w:ascii="Verdana" w:hAnsi="Verdana"/>
          <w:sz w:val="22"/>
          <w:szCs w:val="22"/>
        </w:rPr>
        <w:t xml:space="preserve"> setting.  </w:t>
      </w:r>
      <w:r w:rsidR="001D03E6" w:rsidRPr="00C02A2C">
        <w:rPr>
          <w:rFonts w:ascii="Verdana" w:hAnsi="Verdana"/>
          <w:sz w:val="22"/>
          <w:szCs w:val="22"/>
        </w:rPr>
        <w:t xml:space="preserve">Parameters would need to be established to provide direction for </w:t>
      </w:r>
      <w:r w:rsidR="00815EA7" w:rsidRPr="00C02A2C">
        <w:rPr>
          <w:rFonts w:ascii="Verdana" w:hAnsi="Verdana"/>
          <w:sz w:val="22"/>
          <w:szCs w:val="22"/>
        </w:rPr>
        <w:t xml:space="preserve">how a school </w:t>
      </w:r>
      <w:r w:rsidRPr="00C02A2C">
        <w:rPr>
          <w:rFonts w:ascii="Verdana" w:hAnsi="Verdana"/>
          <w:sz w:val="22"/>
          <w:szCs w:val="22"/>
        </w:rPr>
        <w:t xml:space="preserve">would </w:t>
      </w:r>
      <w:r w:rsidR="00815EA7" w:rsidRPr="00C02A2C">
        <w:rPr>
          <w:rFonts w:ascii="Verdana" w:hAnsi="Verdana"/>
          <w:sz w:val="22"/>
          <w:szCs w:val="22"/>
        </w:rPr>
        <w:t xml:space="preserve">document </w:t>
      </w:r>
      <w:r w:rsidRPr="00C02A2C">
        <w:rPr>
          <w:rFonts w:ascii="Verdana" w:hAnsi="Verdana"/>
          <w:sz w:val="22"/>
          <w:szCs w:val="22"/>
        </w:rPr>
        <w:t xml:space="preserve">the voiding of </w:t>
      </w:r>
      <w:r w:rsidR="00815EA7" w:rsidRPr="00C02A2C">
        <w:rPr>
          <w:rFonts w:ascii="Verdana" w:hAnsi="Verdana"/>
          <w:sz w:val="22"/>
          <w:szCs w:val="22"/>
        </w:rPr>
        <w:t>that presumption</w:t>
      </w:r>
      <w:r w:rsidRPr="00C02A2C">
        <w:rPr>
          <w:rFonts w:ascii="Verdana" w:hAnsi="Verdana"/>
          <w:sz w:val="22"/>
          <w:szCs w:val="22"/>
        </w:rPr>
        <w:t xml:space="preserve"> and procedures </w:t>
      </w:r>
      <w:r w:rsidR="005716E3" w:rsidRPr="00C02A2C">
        <w:rPr>
          <w:rFonts w:ascii="Verdana" w:hAnsi="Verdana"/>
          <w:sz w:val="22"/>
          <w:szCs w:val="22"/>
        </w:rPr>
        <w:t xml:space="preserve">would need to be established for determination of a </w:t>
      </w:r>
      <w:r w:rsidR="00815EA7" w:rsidRPr="00C02A2C">
        <w:rPr>
          <w:rFonts w:ascii="Verdana" w:hAnsi="Verdana"/>
          <w:sz w:val="22"/>
          <w:szCs w:val="22"/>
        </w:rPr>
        <w:t>fair market reimbursement to the school</w:t>
      </w:r>
      <w:r w:rsidR="00D345D0" w:rsidRPr="00C02A2C">
        <w:rPr>
          <w:rFonts w:ascii="Verdana" w:hAnsi="Verdana"/>
          <w:sz w:val="22"/>
          <w:szCs w:val="22"/>
        </w:rPr>
        <w:t>.</w:t>
      </w:r>
    </w:p>
    <w:p w:rsidR="00802AC3" w:rsidRPr="00C02A2C" w:rsidRDefault="0006599C" w:rsidP="00815EA7">
      <w:pPr>
        <w:rPr>
          <w:rFonts w:ascii="Verdana" w:hAnsi="Verdana"/>
          <w:sz w:val="22"/>
          <w:szCs w:val="22"/>
        </w:rPr>
      </w:pPr>
      <w:r w:rsidRPr="00C02A2C">
        <w:rPr>
          <w:rFonts w:ascii="Verdana" w:hAnsi="Verdana"/>
          <w:sz w:val="22"/>
          <w:szCs w:val="22"/>
        </w:rPr>
        <w:t xml:space="preserve"> </w:t>
      </w:r>
    </w:p>
    <w:p w:rsidR="0006599C" w:rsidRPr="00C02A2C" w:rsidRDefault="00A97883" w:rsidP="00A97883">
      <w:pPr>
        <w:ind w:left="360"/>
        <w:rPr>
          <w:rFonts w:ascii="Verdana" w:hAnsi="Verdana"/>
          <w:sz w:val="22"/>
          <w:szCs w:val="22"/>
        </w:rPr>
      </w:pPr>
      <w:r w:rsidRPr="00C02A2C">
        <w:rPr>
          <w:rFonts w:ascii="Verdana" w:hAnsi="Verdana"/>
          <w:i/>
          <w:sz w:val="22"/>
          <w:szCs w:val="22"/>
        </w:rPr>
        <w:t xml:space="preserve">Advantages:  </w:t>
      </w:r>
      <w:r w:rsidRPr="00C02A2C">
        <w:rPr>
          <w:rFonts w:ascii="Verdana" w:hAnsi="Verdana"/>
          <w:sz w:val="22"/>
          <w:szCs w:val="22"/>
        </w:rPr>
        <w:t>A policy that establishes an affirmative requirement to transfer AT devices would shift the policy from an option to a mandate for schools.  If the presumption is that a device used primarily for an individual student will transfer with them to a post-</w:t>
      </w:r>
      <w:r w:rsidR="006133ED" w:rsidRPr="00C02A2C">
        <w:rPr>
          <w:rFonts w:ascii="Verdana" w:hAnsi="Verdana"/>
          <w:sz w:val="22"/>
          <w:szCs w:val="22"/>
        </w:rPr>
        <w:t>graduation</w:t>
      </w:r>
      <w:r w:rsidRPr="00C02A2C">
        <w:rPr>
          <w:rFonts w:ascii="Verdana" w:hAnsi="Verdana"/>
          <w:sz w:val="22"/>
          <w:szCs w:val="22"/>
        </w:rPr>
        <w:t xml:space="preserve"> setting unless documentation verifies otherwise, the number of devices </w:t>
      </w:r>
      <w:r w:rsidR="001842BA" w:rsidRPr="00C02A2C">
        <w:rPr>
          <w:rFonts w:ascii="Verdana" w:hAnsi="Verdana"/>
          <w:sz w:val="22"/>
          <w:szCs w:val="22"/>
        </w:rPr>
        <w:t>that</w:t>
      </w:r>
      <w:r w:rsidRPr="00C02A2C">
        <w:rPr>
          <w:rFonts w:ascii="Verdana" w:hAnsi="Verdana"/>
          <w:sz w:val="22"/>
          <w:szCs w:val="22"/>
        </w:rPr>
        <w:t xml:space="preserve"> follow</w:t>
      </w:r>
      <w:r w:rsidR="006133ED" w:rsidRPr="00C02A2C">
        <w:rPr>
          <w:rFonts w:ascii="Verdana" w:hAnsi="Verdana"/>
          <w:sz w:val="22"/>
          <w:szCs w:val="22"/>
        </w:rPr>
        <w:t xml:space="preserve"> transitioning students once they leave school</w:t>
      </w:r>
      <w:r w:rsidR="000469AB" w:rsidRPr="00C02A2C">
        <w:rPr>
          <w:rFonts w:ascii="Verdana" w:hAnsi="Verdana"/>
          <w:sz w:val="22"/>
          <w:szCs w:val="22"/>
        </w:rPr>
        <w:t xml:space="preserve"> would increase</w:t>
      </w:r>
      <w:r w:rsidRPr="00C02A2C">
        <w:rPr>
          <w:rFonts w:ascii="Verdana" w:hAnsi="Verdana"/>
          <w:sz w:val="22"/>
          <w:szCs w:val="22"/>
        </w:rPr>
        <w:t>.  If such a policy was implemented on a state</w:t>
      </w:r>
      <w:r w:rsidR="001842BA" w:rsidRPr="00C02A2C">
        <w:rPr>
          <w:rFonts w:ascii="Verdana" w:hAnsi="Verdana"/>
          <w:sz w:val="22"/>
          <w:szCs w:val="22"/>
        </w:rPr>
        <w:t xml:space="preserve">wide or national basis it could </w:t>
      </w:r>
      <w:r w:rsidR="006133ED" w:rsidRPr="00C02A2C">
        <w:rPr>
          <w:rFonts w:ascii="Verdana" w:hAnsi="Verdana"/>
          <w:sz w:val="22"/>
          <w:szCs w:val="22"/>
        </w:rPr>
        <w:t>serve as a foundation for transferring AT between districts, eliminating</w:t>
      </w:r>
      <w:r w:rsidRPr="00C02A2C">
        <w:rPr>
          <w:rFonts w:ascii="Verdana" w:hAnsi="Verdana"/>
          <w:sz w:val="22"/>
          <w:szCs w:val="22"/>
        </w:rPr>
        <w:t xml:space="preserve"> duplicative purchases for those students who move between schools.</w:t>
      </w:r>
    </w:p>
    <w:p w:rsidR="0006599C" w:rsidRPr="00C02A2C" w:rsidRDefault="0006599C" w:rsidP="00A97883">
      <w:pPr>
        <w:ind w:left="360"/>
        <w:rPr>
          <w:rFonts w:ascii="Verdana" w:hAnsi="Verdana"/>
          <w:i/>
          <w:sz w:val="22"/>
          <w:szCs w:val="22"/>
        </w:rPr>
      </w:pPr>
    </w:p>
    <w:p w:rsidR="0006599C" w:rsidRPr="00C02A2C" w:rsidRDefault="0006599C" w:rsidP="0006599C">
      <w:pPr>
        <w:ind w:left="360"/>
        <w:rPr>
          <w:rFonts w:ascii="Verdana" w:hAnsi="Verdana"/>
          <w:sz w:val="22"/>
          <w:szCs w:val="22"/>
        </w:rPr>
      </w:pPr>
      <w:r w:rsidRPr="00C02A2C">
        <w:rPr>
          <w:rFonts w:ascii="Verdana" w:hAnsi="Verdana"/>
          <w:i/>
          <w:sz w:val="22"/>
          <w:szCs w:val="22"/>
        </w:rPr>
        <w:t xml:space="preserve"> </w:t>
      </w:r>
      <w:r w:rsidR="00A97883" w:rsidRPr="00C02A2C">
        <w:rPr>
          <w:rFonts w:ascii="Verdana" w:hAnsi="Verdana"/>
          <w:i/>
          <w:sz w:val="22"/>
          <w:szCs w:val="22"/>
        </w:rPr>
        <w:t>Disadvantages:</w:t>
      </w:r>
      <w:r w:rsidR="00A97883" w:rsidRPr="00C02A2C">
        <w:rPr>
          <w:rFonts w:ascii="Verdana" w:hAnsi="Verdana"/>
          <w:sz w:val="22"/>
          <w:szCs w:val="22"/>
        </w:rPr>
        <w:t xml:space="preserve">  E</w:t>
      </w:r>
      <w:r w:rsidR="005716E3" w:rsidRPr="00C02A2C">
        <w:rPr>
          <w:rFonts w:ascii="Verdana" w:hAnsi="Verdana"/>
          <w:sz w:val="22"/>
          <w:szCs w:val="22"/>
        </w:rPr>
        <w:t xml:space="preserve">stablishing this type of blanket policy applicable to all school AT purchases would </w:t>
      </w:r>
      <w:r w:rsidR="00A97883" w:rsidRPr="00C02A2C">
        <w:rPr>
          <w:rFonts w:ascii="Verdana" w:hAnsi="Verdana"/>
          <w:sz w:val="22"/>
          <w:szCs w:val="22"/>
        </w:rPr>
        <w:t xml:space="preserve">likely be met with much opposition.  </w:t>
      </w:r>
      <w:r w:rsidR="005716E3" w:rsidRPr="00C02A2C">
        <w:rPr>
          <w:rFonts w:ascii="Verdana" w:hAnsi="Verdana"/>
          <w:sz w:val="22"/>
          <w:szCs w:val="22"/>
        </w:rPr>
        <w:t>S</w:t>
      </w:r>
      <w:r w:rsidR="000469AB" w:rsidRPr="00C02A2C">
        <w:rPr>
          <w:rFonts w:ascii="Verdana" w:hAnsi="Verdana"/>
          <w:sz w:val="22"/>
          <w:szCs w:val="22"/>
        </w:rPr>
        <w:t xml:space="preserve">hifting from a permissive policy to a </w:t>
      </w:r>
      <w:r w:rsidR="002C7D41" w:rsidRPr="00C02A2C">
        <w:rPr>
          <w:rFonts w:ascii="Verdana" w:hAnsi="Verdana"/>
          <w:sz w:val="22"/>
          <w:szCs w:val="22"/>
        </w:rPr>
        <w:t xml:space="preserve">requirement </w:t>
      </w:r>
      <w:r w:rsidR="00357936" w:rsidRPr="00C02A2C">
        <w:rPr>
          <w:rFonts w:ascii="Verdana" w:hAnsi="Verdana"/>
          <w:sz w:val="22"/>
          <w:szCs w:val="22"/>
        </w:rPr>
        <w:t xml:space="preserve">that schools </w:t>
      </w:r>
      <w:r w:rsidR="002C7D41" w:rsidRPr="00C02A2C">
        <w:rPr>
          <w:rFonts w:ascii="Verdana" w:hAnsi="Verdana"/>
          <w:sz w:val="22"/>
          <w:szCs w:val="22"/>
        </w:rPr>
        <w:t xml:space="preserve">transfer </w:t>
      </w:r>
      <w:r w:rsidR="00357936" w:rsidRPr="00C02A2C">
        <w:rPr>
          <w:rFonts w:ascii="Verdana" w:hAnsi="Verdana"/>
          <w:sz w:val="22"/>
          <w:szCs w:val="22"/>
        </w:rPr>
        <w:t xml:space="preserve">equipment </w:t>
      </w:r>
      <w:r w:rsidR="002C7D41" w:rsidRPr="00C02A2C">
        <w:rPr>
          <w:rFonts w:ascii="Verdana" w:hAnsi="Verdana"/>
          <w:sz w:val="22"/>
          <w:szCs w:val="22"/>
        </w:rPr>
        <w:t xml:space="preserve">unless documented otherwise would </w:t>
      </w:r>
      <w:r w:rsidR="00815EA7" w:rsidRPr="00C02A2C">
        <w:rPr>
          <w:rFonts w:ascii="Verdana" w:hAnsi="Verdana"/>
          <w:sz w:val="22"/>
          <w:szCs w:val="22"/>
        </w:rPr>
        <w:t>create significant additional administrative paperwork requirements and would be seen as highly intrusive on district property rights</w:t>
      </w:r>
      <w:r w:rsidR="006133ED" w:rsidRPr="00C02A2C">
        <w:rPr>
          <w:rFonts w:ascii="Verdana" w:hAnsi="Verdana"/>
          <w:sz w:val="22"/>
          <w:szCs w:val="22"/>
        </w:rPr>
        <w:t>,</w:t>
      </w:r>
      <w:r w:rsidR="00815EA7" w:rsidRPr="00C02A2C">
        <w:rPr>
          <w:rFonts w:ascii="Verdana" w:hAnsi="Verdana"/>
          <w:sz w:val="22"/>
          <w:szCs w:val="22"/>
        </w:rPr>
        <w:t xml:space="preserve"> especially </w:t>
      </w:r>
      <w:r w:rsidR="006133ED" w:rsidRPr="00C02A2C">
        <w:rPr>
          <w:rFonts w:ascii="Verdana" w:hAnsi="Verdana"/>
          <w:sz w:val="22"/>
          <w:szCs w:val="22"/>
        </w:rPr>
        <w:t xml:space="preserve">if applied to </w:t>
      </w:r>
      <w:r w:rsidR="00815EA7" w:rsidRPr="00C02A2C">
        <w:rPr>
          <w:rFonts w:ascii="Verdana" w:hAnsi="Verdana"/>
          <w:sz w:val="22"/>
          <w:szCs w:val="22"/>
        </w:rPr>
        <w:t xml:space="preserve">equipment not purchased with federal funding.   It does not appear this kind of </w:t>
      </w:r>
      <w:r w:rsidR="00357936" w:rsidRPr="00C02A2C">
        <w:rPr>
          <w:rFonts w:ascii="Verdana" w:hAnsi="Verdana"/>
          <w:sz w:val="22"/>
          <w:szCs w:val="22"/>
        </w:rPr>
        <w:t>direct</w:t>
      </w:r>
      <w:r w:rsidR="005716E3" w:rsidRPr="00C02A2C">
        <w:rPr>
          <w:rFonts w:ascii="Verdana" w:hAnsi="Verdana"/>
          <w:sz w:val="22"/>
          <w:szCs w:val="22"/>
        </w:rPr>
        <w:t>ive</w:t>
      </w:r>
      <w:r w:rsidR="00357936" w:rsidRPr="00C02A2C">
        <w:rPr>
          <w:rFonts w:ascii="Verdana" w:hAnsi="Verdana"/>
          <w:sz w:val="22"/>
          <w:szCs w:val="22"/>
        </w:rPr>
        <w:t xml:space="preserve"> </w:t>
      </w:r>
      <w:r w:rsidR="00815EA7" w:rsidRPr="00C02A2C">
        <w:rPr>
          <w:rFonts w:ascii="Verdana" w:hAnsi="Verdana"/>
          <w:sz w:val="22"/>
          <w:szCs w:val="22"/>
        </w:rPr>
        <w:t>policy approach has been tried</w:t>
      </w:r>
      <w:r w:rsidR="00DD4496" w:rsidRPr="00C02A2C">
        <w:rPr>
          <w:rFonts w:ascii="Verdana" w:hAnsi="Verdana"/>
          <w:sz w:val="22"/>
          <w:szCs w:val="22"/>
        </w:rPr>
        <w:t xml:space="preserve"> to date</w:t>
      </w:r>
      <w:r w:rsidR="006133ED" w:rsidRPr="00C02A2C">
        <w:rPr>
          <w:rFonts w:ascii="Verdana" w:hAnsi="Verdana"/>
          <w:sz w:val="22"/>
          <w:szCs w:val="22"/>
        </w:rPr>
        <w:t>,</w:t>
      </w:r>
      <w:r w:rsidR="00357936" w:rsidRPr="00C02A2C">
        <w:rPr>
          <w:rFonts w:ascii="Verdana" w:hAnsi="Verdana"/>
          <w:sz w:val="22"/>
          <w:szCs w:val="22"/>
        </w:rPr>
        <w:t xml:space="preserve"> probably because of concerns about </w:t>
      </w:r>
      <w:r w:rsidR="00A97883" w:rsidRPr="00C02A2C">
        <w:rPr>
          <w:rFonts w:ascii="Verdana" w:hAnsi="Verdana"/>
          <w:sz w:val="22"/>
          <w:szCs w:val="22"/>
        </w:rPr>
        <w:t xml:space="preserve">widespread </w:t>
      </w:r>
      <w:r w:rsidR="00357936" w:rsidRPr="00C02A2C">
        <w:rPr>
          <w:rFonts w:ascii="Verdana" w:hAnsi="Verdana"/>
          <w:sz w:val="22"/>
          <w:szCs w:val="22"/>
        </w:rPr>
        <w:t>opposition</w:t>
      </w:r>
      <w:r w:rsidR="00DD4496" w:rsidRPr="00C02A2C">
        <w:rPr>
          <w:rFonts w:ascii="Verdana" w:hAnsi="Verdana"/>
          <w:sz w:val="22"/>
          <w:szCs w:val="22"/>
        </w:rPr>
        <w:t>.</w:t>
      </w:r>
    </w:p>
    <w:p w:rsidR="00815EA7" w:rsidRPr="00C02A2C" w:rsidRDefault="0006599C" w:rsidP="0006599C">
      <w:pPr>
        <w:ind w:left="360"/>
        <w:rPr>
          <w:rFonts w:ascii="Verdana" w:hAnsi="Verdana"/>
          <w:sz w:val="22"/>
          <w:szCs w:val="22"/>
        </w:rPr>
      </w:pPr>
      <w:r w:rsidRPr="00C02A2C">
        <w:rPr>
          <w:rFonts w:ascii="Verdana" w:hAnsi="Verdana"/>
          <w:sz w:val="22"/>
          <w:szCs w:val="22"/>
        </w:rPr>
        <w:t xml:space="preserve"> </w:t>
      </w:r>
    </w:p>
    <w:p w:rsidR="00D345D0" w:rsidRPr="00C02A2C" w:rsidRDefault="00D345D0" w:rsidP="00D345D0">
      <w:pPr>
        <w:rPr>
          <w:rFonts w:ascii="Verdana" w:hAnsi="Verdana"/>
          <w:i/>
          <w:sz w:val="22"/>
          <w:szCs w:val="22"/>
        </w:rPr>
      </w:pPr>
      <w:r w:rsidRPr="00C02A2C">
        <w:rPr>
          <w:rFonts w:ascii="Verdana" w:hAnsi="Verdana"/>
          <w:i/>
          <w:sz w:val="22"/>
          <w:szCs w:val="22"/>
        </w:rPr>
        <w:t xml:space="preserve">2)  </w:t>
      </w:r>
      <w:r w:rsidR="003765B0" w:rsidRPr="00C02A2C">
        <w:rPr>
          <w:rFonts w:ascii="Verdana" w:hAnsi="Verdana"/>
          <w:i/>
          <w:sz w:val="22"/>
          <w:szCs w:val="22"/>
        </w:rPr>
        <w:t>F</w:t>
      </w:r>
      <w:r w:rsidRPr="00C02A2C">
        <w:rPr>
          <w:rFonts w:ascii="Verdana" w:hAnsi="Verdana"/>
          <w:i/>
          <w:sz w:val="22"/>
          <w:szCs w:val="22"/>
        </w:rPr>
        <w:t xml:space="preserve">ederal policy </w:t>
      </w:r>
      <w:r w:rsidR="003B0ACE" w:rsidRPr="00C02A2C">
        <w:rPr>
          <w:rFonts w:ascii="Verdana" w:hAnsi="Verdana"/>
          <w:i/>
          <w:sz w:val="22"/>
          <w:szCs w:val="22"/>
        </w:rPr>
        <w:t>that supersedes</w:t>
      </w:r>
      <w:r w:rsidRPr="00C02A2C">
        <w:rPr>
          <w:rFonts w:ascii="Verdana" w:hAnsi="Verdana"/>
          <w:i/>
          <w:sz w:val="22"/>
          <w:szCs w:val="22"/>
        </w:rPr>
        <w:t xml:space="preserve"> all others on transfer of school purchased AT. </w:t>
      </w:r>
    </w:p>
    <w:p w:rsidR="0006599C" w:rsidRPr="00C02A2C" w:rsidRDefault="00D345D0" w:rsidP="0090089F">
      <w:pPr>
        <w:rPr>
          <w:rFonts w:ascii="Verdana" w:hAnsi="Verdana"/>
          <w:sz w:val="22"/>
          <w:szCs w:val="22"/>
        </w:rPr>
      </w:pPr>
      <w:r w:rsidRPr="00C02A2C">
        <w:rPr>
          <w:rFonts w:ascii="Verdana" w:hAnsi="Verdana"/>
          <w:sz w:val="22"/>
          <w:szCs w:val="22"/>
        </w:rPr>
        <w:t xml:space="preserve">Another option would be to apply the current permissive EDGAR provisions to all school purchased AT (regardless of what funding source was used) </w:t>
      </w:r>
      <w:r w:rsidR="003B0ACE" w:rsidRPr="00C02A2C">
        <w:rPr>
          <w:rFonts w:ascii="Verdana" w:hAnsi="Verdana"/>
          <w:sz w:val="22"/>
          <w:szCs w:val="22"/>
        </w:rPr>
        <w:t>and prohibit the adoption of state/local policies that exceed EDGAR in any way.</w:t>
      </w:r>
    </w:p>
    <w:p w:rsidR="003B0ACE" w:rsidRPr="00C02A2C" w:rsidRDefault="0006599C" w:rsidP="0090089F">
      <w:pPr>
        <w:rPr>
          <w:rFonts w:ascii="Verdana" w:hAnsi="Verdana"/>
          <w:sz w:val="22"/>
          <w:szCs w:val="22"/>
        </w:rPr>
      </w:pPr>
      <w:r w:rsidRPr="00C02A2C">
        <w:rPr>
          <w:rFonts w:ascii="Verdana" w:hAnsi="Verdana"/>
          <w:sz w:val="22"/>
          <w:szCs w:val="22"/>
        </w:rPr>
        <w:t xml:space="preserve"> </w:t>
      </w:r>
    </w:p>
    <w:p w:rsidR="0006599C" w:rsidRPr="00C02A2C" w:rsidRDefault="006A6191" w:rsidP="00854E37">
      <w:pPr>
        <w:ind w:left="360"/>
        <w:rPr>
          <w:rFonts w:ascii="Verdana" w:hAnsi="Verdana"/>
          <w:sz w:val="22"/>
          <w:szCs w:val="22"/>
        </w:rPr>
      </w:pPr>
      <w:r w:rsidRPr="00C02A2C">
        <w:rPr>
          <w:rFonts w:ascii="Verdana" w:hAnsi="Verdana"/>
          <w:i/>
          <w:sz w:val="22"/>
          <w:szCs w:val="22"/>
        </w:rPr>
        <w:t xml:space="preserve">Advantages:  </w:t>
      </w:r>
      <w:r w:rsidRPr="00C02A2C">
        <w:rPr>
          <w:rFonts w:ascii="Verdana" w:hAnsi="Verdana"/>
          <w:sz w:val="22"/>
          <w:szCs w:val="22"/>
        </w:rPr>
        <w:t xml:space="preserve">A policy like this would provide uniformity across the country.  </w:t>
      </w:r>
      <w:r w:rsidR="001842BA" w:rsidRPr="00C02A2C">
        <w:rPr>
          <w:rFonts w:ascii="Verdana" w:hAnsi="Verdana"/>
          <w:sz w:val="22"/>
          <w:szCs w:val="22"/>
        </w:rPr>
        <w:t>P</w:t>
      </w:r>
      <w:r w:rsidRPr="00C02A2C">
        <w:rPr>
          <w:rFonts w:ascii="Verdana" w:hAnsi="Verdana"/>
          <w:sz w:val="22"/>
          <w:szCs w:val="22"/>
        </w:rPr>
        <w:t>rohibiting state/local</w:t>
      </w:r>
      <w:r w:rsidR="001842BA" w:rsidRPr="00C02A2C">
        <w:rPr>
          <w:rFonts w:ascii="Verdana" w:hAnsi="Verdana"/>
          <w:sz w:val="22"/>
          <w:szCs w:val="22"/>
        </w:rPr>
        <w:t xml:space="preserve"> policies that exceed EDGAR </w:t>
      </w:r>
      <w:r w:rsidRPr="00C02A2C">
        <w:rPr>
          <w:rFonts w:ascii="Verdana" w:hAnsi="Verdana"/>
          <w:sz w:val="22"/>
          <w:szCs w:val="22"/>
        </w:rPr>
        <w:t xml:space="preserve">would eliminate the introduction of barriers that might be unintentional.   </w:t>
      </w:r>
      <w:r w:rsidR="00854E37" w:rsidRPr="00C02A2C">
        <w:rPr>
          <w:rFonts w:ascii="Verdana" w:hAnsi="Verdana"/>
          <w:sz w:val="22"/>
          <w:szCs w:val="22"/>
        </w:rPr>
        <w:t xml:space="preserve">While it probably would not go as far as </w:t>
      </w:r>
      <w:r w:rsidR="00EB72CC" w:rsidRPr="00C02A2C">
        <w:rPr>
          <w:rFonts w:ascii="Verdana" w:hAnsi="Verdana"/>
          <w:sz w:val="22"/>
          <w:szCs w:val="22"/>
        </w:rPr>
        <w:t>an affirmative directive in supporting AT transfer, it might increase the ease with which such transfers occur.</w:t>
      </w:r>
    </w:p>
    <w:p w:rsidR="0006599C" w:rsidRPr="00C02A2C" w:rsidRDefault="0006599C" w:rsidP="00854E37">
      <w:pPr>
        <w:ind w:left="360"/>
        <w:rPr>
          <w:rFonts w:ascii="Verdana" w:hAnsi="Verdana"/>
          <w:sz w:val="22"/>
          <w:szCs w:val="22"/>
        </w:rPr>
      </w:pPr>
    </w:p>
    <w:p w:rsidR="0006599C" w:rsidRPr="00C02A2C" w:rsidRDefault="00EB72CC" w:rsidP="0006599C">
      <w:pPr>
        <w:ind w:left="360" w:firstLine="60"/>
        <w:rPr>
          <w:rFonts w:ascii="Verdana" w:hAnsi="Verdana"/>
          <w:sz w:val="22"/>
          <w:szCs w:val="22"/>
        </w:rPr>
      </w:pPr>
      <w:r w:rsidRPr="00C02A2C">
        <w:rPr>
          <w:rFonts w:ascii="Verdana" w:hAnsi="Verdana"/>
          <w:i/>
          <w:sz w:val="22"/>
          <w:szCs w:val="22"/>
        </w:rPr>
        <w:t>Disadvantages</w:t>
      </w:r>
      <w:r w:rsidRPr="00C02A2C">
        <w:rPr>
          <w:rFonts w:ascii="Verdana" w:hAnsi="Verdana"/>
          <w:sz w:val="22"/>
          <w:szCs w:val="22"/>
        </w:rPr>
        <w:t xml:space="preserve">:  It may be difficult to find an appropriate vehicle in which to establish this kind of </w:t>
      </w:r>
      <w:r w:rsidR="00A87FE8" w:rsidRPr="00C02A2C">
        <w:rPr>
          <w:rFonts w:ascii="Verdana" w:hAnsi="Verdana"/>
          <w:sz w:val="22"/>
          <w:szCs w:val="22"/>
        </w:rPr>
        <w:t xml:space="preserve">universal </w:t>
      </w:r>
      <w:r w:rsidRPr="00C02A2C">
        <w:rPr>
          <w:rFonts w:ascii="Verdana" w:hAnsi="Verdana"/>
          <w:sz w:val="22"/>
          <w:szCs w:val="22"/>
        </w:rPr>
        <w:t>requirement.  It is not something that could be added to EDGAR as those regulations apply only to Department of Education funding.  It might be possible to include this kind of requirement in IDEA but would need to be structured to apply to all purchases of AT for students who are IDEA eligible, not just purchases using IDEA dollars.  Prohibiting accounting and inventory control policies that exceed a provision of IDEA might also be difficult to do and could be met with opposition as overly intrusive.</w:t>
      </w:r>
    </w:p>
    <w:p w:rsidR="00D345D0" w:rsidRPr="00C02A2C" w:rsidRDefault="0006599C" w:rsidP="0006599C">
      <w:pPr>
        <w:ind w:left="360" w:firstLine="60"/>
        <w:rPr>
          <w:rFonts w:ascii="Verdana" w:hAnsi="Verdana"/>
          <w:sz w:val="22"/>
          <w:szCs w:val="22"/>
        </w:rPr>
      </w:pPr>
      <w:r w:rsidRPr="00C02A2C">
        <w:rPr>
          <w:rFonts w:ascii="Verdana" w:hAnsi="Verdana"/>
          <w:sz w:val="22"/>
          <w:szCs w:val="22"/>
        </w:rPr>
        <w:t xml:space="preserve"> </w:t>
      </w:r>
    </w:p>
    <w:p w:rsidR="00A97883" w:rsidRPr="00C02A2C" w:rsidRDefault="00EB72CC" w:rsidP="0090089F">
      <w:pPr>
        <w:rPr>
          <w:rFonts w:ascii="Verdana" w:hAnsi="Verdana"/>
          <w:i/>
          <w:sz w:val="22"/>
          <w:szCs w:val="22"/>
        </w:rPr>
      </w:pPr>
      <w:r w:rsidRPr="00C02A2C">
        <w:rPr>
          <w:rFonts w:ascii="Verdana" w:hAnsi="Verdana"/>
          <w:i/>
          <w:sz w:val="22"/>
          <w:szCs w:val="22"/>
        </w:rPr>
        <w:t>3</w:t>
      </w:r>
      <w:r w:rsidR="00A97883" w:rsidRPr="00C02A2C">
        <w:rPr>
          <w:rFonts w:ascii="Verdana" w:hAnsi="Verdana"/>
          <w:i/>
          <w:sz w:val="22"/>
          <w:szCs w:val="22"/>
        </w:rPr>
        <w:t xml:space="preserve">)  </w:t>
      </w:r>
      <w:r w:rsidR="003765B0" w:rsidRPr="00C02A2C">
        <w:rPr>
          <w:rFonts w:ascii="Verdana" w:hAnsi="Verdana"/>
          <w:i/>
          <w:sz w:val="22"/>
          <w:szCs w:val="22"/>
        </w:rPr>
        <w:t>C</w:t>
      </w:r>
      <w:r w:rsidR="00A97883" w:rsidRPr="00C02A2C">
        <w:rPr>
          <w:rFonts w:ascii="Verdana" w:hAnsi="Verdana"/>
          <w:i/>
          <w:sz w:val="22"/>
          <w:szCs w:val="22"/>
        </w:rPr>
        <w:t xml:space="preserve">entral buying </w:t>
      </w:r>
      <w:r w:rsidR="003765B0" w:rsidRPr="00C02A2C">
        <w:rPr>
          <w:rFonts w:ascii="Verdana" w:hAnsi="Verdana"/>
          <w:i/>
          <w:sz w:val="22"/>
          <w:szCs w:val="22"/>
        </w:rPr>
        <w:t xml:space="preserve">and ownership of </w:t>
      </w:r>
      <w:r w:rsidR="00B12AAD" w:rsidRPr="00C02A2C">
        <w:rPr>
          <w:rFonts w:ascii="Verdana" w:hAnsi="Verdana"/>
          <w:i/>
          <w:sz w:val="22"/>
          <w:szCs w:val="22"/>
        </w:rPr>
        <w:t xml:space="preserve">school </w:t>
      </w:r>
      <w:r w:rsidR="003765B0" w:rsidRPr="00C02A2C">
        <w:rPr>
          <w:rFonts w:ascii="Verdana" w:hAnsi="Verdana"/>
          <w:i/>
          <w:sz w:val="22"/>
          <w:szCs w:val="22"/>
        </w:rPr>
        <w:t xml:space="preserve">needed </w:t>
      </w:r>
      <w:r w:rsidR="00B12AAD" w:rsidRPr="00C02A2C">
        <w:rPr>
          <w:rFonts w:ascii="Verdana" w:hAnsi="Verdana"/>
          <w:i/>
          <w:sz w:val="22"/>
          <w:szCs w:val="22"/>
        </w:rPr>
        <w:t>AT</w:t>
      </w:r>
    </w:p>
    <w:p w:rsidR="0006599C" w:rsidRPr="00C02A2C" w:rsidRDefault="00356088" w:rsidP="0090089F">
      <w:pPr>
        <w:rPr>
          <w:rFonts w:ascii="Verdana" w:hAnsi="Verdana"/>
          <w:sz w:val="22"/>
          <w:szCs w:val="22"/>
        </w:rPr>
      </w:pPr>
      <w:r w:rsidRPr="00C02A2C">
        <w:rPr>
          <w:rFonts w:ascii="Verdana" w:hAnsi="Verdana"/>
          <w:sz w:val="22"/>
          <w:szCs w:val="22"/>
        </w:rPr>
        <w:t xml:space="preserve">A centralized buying approach </w:t>
      </w:r>
      <w:r w:rsidR="00A97883" w:rsidRPr="00C02A2C">
        <w:rPr>
          <w:rFonts w:ascii="Verdana" w:hAnsi="Verdana"/>
          <w:sz w:val="22"/>
          <w:szCs w:val="22"/>
        </w:rPr>
        <w:t xml:space="preserve">is an option that </w:t>
      </w:r>
      <w:r w:rsidRPr="00C02A2C">
        <w:rPr>
          <w:rFonts w:ascii="Verdana" w:hAnsi="Verdana"/>
          <w:sz w:val="22"/>
          <w:szCs w:val="22"/>
        </w:rPr>
        <w:t>has been tried in various forms in a number of states</w:t>
      </w:r>
      <w:r w:rsidR="00A97883" w:rsidRPr="00C02A2C">
        <w:rPr>
          <w:rFonts w:ascii="Verdana" w:hAnsi="Verdana"/>
          <w:sz w:val="22"/>
          <w:szCs w:val="22"/>
        </w:rPr>
        <w:t xml:space="preserve"> to support AT transfer</w:t>
      </w:r>
      <w:r w:rsidRPr="00C02A2C">
        <w:rPr>
          <w:rFonts w:ascii="Verdana" w:hAnsi="Verdana"/>
          <w:sz w:val="22"/>
          <w:szCs w:val="22"/>
        </w:rPr>
        <w:t xml:space="preserve">.  In this kind of program, </w:t>
      </w:r>
      <w:r w:rsidR="00A97883" w:rsidRPr="00C02A2C">
        <w:rPr>
          <w:rFonts w:ascii="Verdana" w:hAnsi="Verdana"/>
          <w:sz w:val="22"/>
          <w:szCs w:val="22"/>
        </w:rPr>
        <w:t>a</w:t>
      </w:r>
      <w:r w:rsidR="003765B0" w:rsidRPr="00C02A2C">
        <w:rPr>
          <w:rFonts w:ascii="Verdana" w:hAnsi="Verdana"/>
          <w:sz w:val="22"/>
          <w:szCs w:val="22"/>
        </w:rPr>
        <w:t xml:space="preserve"> central </w:t>
      </w:r>
      <w:r w:rsidRPr="00C02A2C">
        <w:rPr>
          <w:rFonts w:ascii="Verdana" w:hAnsi="Verdana"/>
          <w:sz w:val="22"/>
          <w:szCs w:val="22"/>
        </w:rPr>
        <w:t xml:space="preserve">entity </w:t>
      </w:r>
      <w:r w:rsidR="00357936" w:rsidRPr="00C02A2C">
        <w:rPr>
          <w:rFonts w:ascii="Verdana" w:hAnsi="Verdana"/>
          <w:sz w:val="22"/>
          <w:szCs w:val="22"/>
        </w:rPr>
        <w:t xml:space="preserve">purchases AT and can either loan it to the student </w:t>
      </w:r>
      <w:r w:rsidR="00A87FE8" w:rsidRPr="00C02A2C">
        <w:rPr>
          <w:rFonts w:ascii="Verdana" w:hAnsi="Verdana"/>
          <w:sz w:val="22"/>
          <w:szCs w:val="22"/>
        </w:rPr>
        <w:t xml:space="preserve">for as long as it is needed – regardless of where the student goes - </w:t>
      </w:r>
      <w:r w:rsidR="00357936" w:rsidRPr="00C02A2C">
        <w:rPr>
          <w:rFonts w:ascii="Verdana" w:hAnsi="Verdana"/>
          <w:sz w:val="22"/>
          <w:szCs w:val="22"/>
        </w:rPr>
        <w:t xml:space="preserve">or can provide it to the school with an agreement that the device will be tracked annually and reassigned to follow the student as appropriate.  </w:t>
      </w:r>
      <w:r w:rsidRPr="00C02A2C">
        <w:rPr>
          <w:rFonts w:ascii="Verdana" w:hAnsi="Verdana"/>
          <w:sz w:val="22"/>
          <w:szCs w:val="22"/>
        </w:rPr>
        <w:t>In many cases, the central</w:t>
      </w:r>
      <w:r w:rsidR="001842BA" w:rsidRPr="00C02A2C">
        <w:rPr>
          <w:rFonts w:ascii="Verdana" w:hAnsi="Verdana"/>
          <w:sz w:val="22"/>
          <w:szCs w:val="22"/>
        </w:rPr>
        <w:t>ized</w:t>
      </w:r>
      <w:r w:rsidRPr="00C02A2C">
        <w:rPr>
          <w:rFonts w:ascii="Verdana" w:hAnsi="Verdana"/>
          <w:sz w:val="22"/>
          <w:szCs w:val="22"/>
        </w:rPr>
        <w:t xml:space="preserve"> buying is done by </w:t>
      </w:r>
      <w:r w:rsidR="001842BA" w:rsidRPr="00C02A2C">
        <w:rPr>
          <w:rFonts w:ascii="Verdana" w:hAnsi="Verdana"/>
          <w:sz w:val="22"/>
          <w:szCs w:val="22"/>
        </w:rPr>
        <w:t xml:space="preserve">a </w:t>
      </w:r>
      <w:r w:rsidRPr="00C02A2C">
        <w:rPr>
          <w:rFonts w:ascii="Verdana" w:hAnsi="Verdana"/>
          <w:sz w:val="22"/>
          <w:szCs w:val="22"/>
        </w:rPr>
        <w:t>regional unit that serves a number of districts in its catchment area.  There have also been some limited attempts to do central buying at a statewide level for some specific types of AT.</w:t>
      </w:r>
    </w:p>
    <w:p w:rsidR="00356088" w:rsidRPr="00C02A2C" w:rsidRDefault="0006599C" w:rsidP="0090089F">
      <w:pPr>
        <w:rPr>
          <w:rFonts w:ascii="Verdana" w:hAnsi="Verdana"/>
          <w:sz w:val="22"/>
          <w:szCs w:val="22"/>
        </w:rPr>
      </w:pPr>
      <w:r w:rsidRPr="00C02A2C">
        <w:rPr>
          <w:rFonts w:ascii="Verdana" w:hAnsi="Verdana"/>
          <w:sz w:val="22"/>
          <w:szCs w:val="22"/>
        </w:rPr>
        <w:t xml:space="preserve"> </w:t>
      </w:r>
    </w:p>
    <w:p w:rsidR="0006599C" w:rsidRPr="00C02A2C" w:rsidRDefault="00A97883" w:rsidP="004F7760">
      <w:pPr>
        <w:ind w:left="360"/>
        <w:rPr>
          <w:rFonts w:ascii="Verdana" w:hAnsi="Verdana"/>
          <w:sz w:val="22"/>
          <w:szCs w:val="22"/>
        </w:rPr>
      </w:pPr>
      <w:r w:rsidRPr="00C02A2C">
        <w:rPr>
          <w:rFonts w:ascii="Verdana" w:hAnsi="Verdana"/>
          <w:i/>
          <w:sz w:val="22"/>
          <w:szCs w:val="22"/>
        </w:rPr>
        <w:t>Advantages:</w:t>
      </w:r>
      <w:r w:rsidRPr="00C02A2C">
        <w:rPr>
          <w:rFonts w:ascii="Verdana" w:hAnsi="Verdana"/>
          <w:sz w:val="22"/>
          <w:szCs w:val="22"/>
        </w:rPr>
        <w:t xml:space="preserve">  </w:t>
      </w:r>
      <w:r w:rsidR="004F7760" w:rsidRPr="00C02A2C">
        <w:rPr>
          <w:rFonts w:ascii="Verdana" w:hAnsi="Verdana"/>
          <w:sz w:val="22"/>
          <w:szCs w:val="22"/>
        </w:rPr>
        <w:t>A centralized buying approach can provide specialized AT expertise and co</w:t>
      </w:r>
      <w:r w:rsidR="001842BA" w:rsidRPr="00C02A2C">
        <w:rPr>
          <w:rFonts w:ascii="Verdana" w:hAnsi="Verdana"/>
          <w:sz w:val="22"/>
          <w:szCs w:val="22"/>
        </w:rPr>
        <w:t>st savings through volume purchases</w:t>
      </w:r>
      <w:r w:rsidR="004F7760" w:rsidRPr="00C02A2C">
        <w:rPr>
          <w:rFonts w:ascii="Verdana" w:hAnsi="Verdana"/>
          <w:sz w:val="22"/>
          <w:szCs w:val="22"/>
        </w:rPr>
        <w:t xml:space="preserve"> in addition to supporting AT transfer between settings.  Such programs can also establish maintenance agreements and provide loaner equipment when devices are in need of repair.</w:t>
      </w:r>
    </w:p>
    <w:p w:rsidR="0006599C" w:rsidRPr="00C02A2C" w:rsidRDefault="0006599C" w:rsidP="004F7760">
      <w:pPr>
        <w:ind w:left="360"/>
        <w:rPr>
          <w:rFonts w:ascii="Verdana" w:hAnsi="Verdana"/>
          <w:i/>
          <w:sz w:val="22"/>
          <w:szCs w:val="22"/>
        </w:rPr>
      </w:pPr>
    </w:p>
    <w:p w:rsidR="0006599C" w:rsidRPr="00C02A2C" w:rsidRDefault="0006599C" w:rsidP="0006599C">
      <w:pPr>
        <w:ind w:left="360"/>
        <w:rPr>
          <w:rFonts w:ascii="Verdana" w:hAnsi="Verdana"/>
          <w:sz w:val="22"/>
          <w:szCs w:val="22"/>
        </w:rPr>
      </w:pPr>
      <w:r w:rsidRPr="00C02A2C">
        <w:rPr>
          <w:rFonts w:ascii="Verdana" w:hAnsi="Verdana"/>
          <w:i/>
          <w:sz w:val="22"/>
          <w:szCs w:val="22"/>
        </w:rPr>
        <w:t xml:space="preserve"> </w:t>
      </w:r>
      <w:r w:rsidR="00A97883" w:rsidRPr="00C02A2C">
        <w:rPr>
          <w:rFonts w:ascii="Verdana" w:hAnsi="Verdana"/>
          <w:i/>
          <w:sz w:val="22"/>
          <w:szCs w:val="22"/>
        </w:rPr>
        <w:t>Disadvantages:</w:t>
      </w:r>
      <w:r w:rsidR="00A97883" w:rsidRPr="00C02A2C">
        <w:rPr>
          <w:rFonts w:ascii="Verdana" w:hAnsi="Verdana"/>
          <w:sz w:val="22"/>
          <w:szCs w:val="22"/>
        </w:rPr>
        <w:t xml:space="preserve">  </w:t>
      </w:r>
      <w:r w:rsidR="004F7760" w:rsidRPr="00C02A2C">
        <w:rPr>
          <w:rFonts w:ascii="Verdana" w:hAnsi="Verdana"/>
          <w:sz w:val="22"/>
          <w:szCs w:val="22"/>
        </w:rPr>
        <w:t>C</w:t>
      </w:r>
      <w:r w:rsidR="00356088" w:rsidRPr="00C02A2C">
        <w:rPr>
          <w:rFonts w:ascii="Verdana" w:hAnsi="Verdana"/>
          <w:sz w:val="22"/>
          <w:szCs w:val="22"/>
        </w:rPr>
        <w:t xml:space="preserve">entral buying </w:t>
      </w:r>
      <w:r w:rsidR="004F7760" w:rsidRPr="00C02A2C">
        <w:rPr>
          <w:rFonts w:ascii="Verdana" w:hAnsi="Verdana"/>
          <w:sz w:val="22"/>
          <w:szCs w:val="22"/>
        </w:rPr>
        <w:t xml:space="preserve">mechanisms tend to require a large investment of dollars up front to establish the equipment pool and seem to </w:t>
      </w:r>
      <w:r w:rsidR="00356088" w:rsidRPr="00C02A2C">
        <w:rPr>
          <w:rFonts w:ascii="Verdana" w:hAnsi="Verdana"/>
          <w:sz w:val="22"/>
          <w:szCs w:val="22"/>
        </w:rPr>
        <w:t xml:space="preserve">support equipment </w:t>
      </w:r>
      <w:r w:rsidR="004F7760" w:rsidRPr="00C02A2C">
        <w:rPr>
          <w:rFonts w:ascii="Verdana" w:hAnsi="Verdana"/>
          <w:sz w:val="22"/>
          <w:szCs w:val="22"/>
        </w:rPr>
        <w:t xml:space="preserve">transfer </w:t>
      </w:r>
      <w:r w:rsidR="00356088" w:rsidRPr="00C02A2C">
        <w:rPr>
          <w:rFonts w:ascii="Verdana" w:hAnsi="Verdana"/>
          <w:sz w:val="22"/>
          <w:szCs w:val="22"/>
        </w:rPr>
        <w:t>between districts better than transfer of equipment from schools to post-</w:t>
      </w:r>
      <w:r w:rsidR="00A87FE8" w:rsidRPr="00C02A2C">
        <w:rPr>
          <w:rFonts w:ascii="Verdana" w:hAnsi="Verdana"/>
          <w:sz w:val="22"/>
          <w:szCs w:val="22"/>
        </w:rPr>
        <w:t>school</w:t>
      </w:r>
      <w:r w:rsidR="00356088" w:rsidRPr="00C02A2C">
        <w:rPr>
          <w:rFonts w:ascii="Verdana" w:hAnsi="Verdana"/>
          <w:sz w:val="22"/>
          <w:szCs w:val="22"/>
        </w:rPr>
        <w:t xml:space="preserve"> settings.  This is largely because the programs have been funded and operated as an extension of the State Education Agency</w:t>
      </w:r>
      <w:r w:rsidR="00952512" w:rsidRPr="00C02A2C">
        <w:rPr>
          <w:rFonts w:ascii="Verdana" w:hAnsi="Verdana"/>
          <w:sz w:val="22"/>
          <w:szCs w:val="22"/>
        </w:rPr>
        <w:t xml:space="preserve">, </w:t>
      </w:r>
      <w:r w:rsidR="00356088" w:rsidRPr="00C02A2C">
        <w:rPr>
          <w:rFonts w:ascii="Verdana" w:hAnsi="Verdana"/>
          <w:sz w:val="22"/>
          <w:szCs w:val="22"/>
        </w:rPr>
        <w:t xml:space="preserve">local district cooperatives or </w:t>
      </w:r>
      <w:r w:rsidR="00952512" w:rsidRPr="00C02A2C">
        <w:rPr>
          <w:rFonts w:ascii="Verdana" w:hAnsi="Verdana"/>
          <w:sz w:val="22"/>
          <w:szCs w:val="22"/>
        </w:rPr>
        <w:t xml:space="preserve">education </w:t>
      </w:r>
      <w:r w:rsidR="00356088" w:rsidRPr="00C02A2C">
        <w:rPr>
          <w:rFonts w:ascii="Verdana" w:hAnsi="Verdana"/>
          <w:sz w:val="22"/>
          <w:szCs w:val="22"/>
        </w:rPr>
        <w:t xml:space="preserve">intermediate units and all education dollars were used to fund the program.  </w:t>
      </w:r>
      <w:r w:rsidR="004F7760" w:rsidRPr="00C02A2C">
        <w:rPr>
          <w:rFonts w:ascii="Verdana" w:hAnsi="Verdana"/>
          <w:sz w:val="22"/>
          <w:szCs w:val="22"/>
        </w:rPr>
        <w:t>To make a central</w:t>
      </w:r>
      <w:r w:rsidR="001842BA" w:rsidRPr="00C02A2C">
        <w:rPr>
          <w:rFonts w:ascii="Verdana" w:hAnsi="Verdana"/>
          <w:sz w:val="22"/>
          <w:szCs w:val="22"/>
        </w:rPr>
        <w:t>ized</w:t>
      </w:r>
      <w:r w:rsidR="004F7760" w:rsidRPr="00C02A2C">
        <w:rPr>
          <w:rFonts w:ascii="Verdana" w:hAnsi="Verdana"/>
          <w:sz w:val="22"/>
          <w:szCs w:val="22"/>
        </w:rPr>
        <w:t xml:space="preserve"> buying approach work effectively for school to post-school transition, funding would likely need to be a combination of various fund</w:t>
      </w:r>
      <w:r w:rsidR="001842BA" w:rsidRPr="00C02A2C">
        <w:rPr>
          <w:rFonts w:ascii="Verdana" w:hAnsi="Verdana"/>
          <w:sz w:val="22"/>
          <w:szCs w:val="22"/>
        </w:rPr>
        <w:t>ing sources such as education, Vocational R</w:t>
      </w:r>
      <w:r w:rsidR="004F7760" w:rsidRPr="00C02A2C">
        <w:rPr>
          <w:rFonts w:ascii="Verdana" w:hAnsi="Verdana"/>
          <w:sz w:val="22"/>
          <w:szCs w:val="22"/>
        </w:rPr>
        <w:t>ehabilitation, etc.</w:t>
      </w:r>
    </w:p>
    <w:p w:rsidR="00357936" w:rsidRPr="00C02A2C" w:rsidRDefault="0006599C" w:rsidP="0006599C">
      <w:pPr>
        <w:ind w:left="360"/>
        <w:rPr>
          <w:rFonts w:ascii="Verdana" w:hAnsi="Verdana"/>
          <w:sz w:val="22"/>
          <w:szCs w:val="22"/>
        </w:rPr>
      </w:pPr>
      <w:r w:rsidRPr="00C02A2C">
        <w:rPr>
          <w:rFonts w:ascii="Verdana" w:hAnsi="Verdana"/>
          <w:sz w:val="22"/>
          <w:szCs w:val="22"/>
        </w:rPr>
        <w:t xml:space="preserve"> </w:t>
      </w:r>
    </w:p>
    <w:p w:rsidR="00A97883" w:rsidRPr="00C02A2C" w:rsidRDefault="00EB72CC" w:rsidP="0090089F">
      <w:pPr>
        <w:rPr>
          <w:rFonts w:ascii="Verdana" w:hAnsi="Verdana"/>
          <w:i/>
          <w:sz w:val="22"/>
          <w:szCs w:val="22"/>
        </w:rPr>
      </w:pPr>
      <w:r w:rsidRPr="00C02A2C">
        <w:rPr>
          <w:rFonts w:ascii="Verdana" w:hAnsi="Verdana"/>
          <w:i/>
          <w:sz w:val="22"/>
          <w:szCs w:val="22"/>
        </w:rPr>
        <w:t>4</w:t>
      </w:r>
      <w:r w:rsidR="00A97883" w:rsidRPr="00C02A2C">
        <w:rPr>
          <w:rFonts w:ascii="Verdana" w:hAnsi="Verdana"/>
          <w:i/>
          <w:sz w:val="22"/>
          <w:szCs w:val="22"/>
        </w:rPr>
        <w:t xml:space="preserve">)  </w:t>
      </w:r>
      <w:r w:rsidR="003765B0" w:rsidRPr="00C02A2C">
        <w:rPr>
          <w:rFonts w:ascii="Verdana" w:hAnsi="Verdana"/>
          <w:i/>
          <w:sz w:val="22"/>
          <w:szCs w:val="22"/>
        </w:rPr>
        <w:t>C</w:t>
      </w:r>
      <w:r w:rsidR="004F7760" w:rsidRPr="00C02A2C">
        <w:rPr>
          <w:rFonts w:ascii="Verdana" w:hAnsi="Verdana"/>
          <w:i/>
          <w:sz w:val="22"/>
          <w:szCs w:val="22"/>
        </w:rPr>
        <w:t>ollaborative buying policies</w:t>
      </w:r>
      <w:r w:rsidR="008730CF" w:rsidRPr="00C02A2C">
        <w:rPr>
          <w:rFonts w:ascii="Verdana" w:hAnsi="Verdana"/>
          <w:i/>
          <w:sz w:val="22"/>
          <w:szCs w:val="22"/>
        </w:rPr>
        <w:t>/procedures</w:t>
      </w:r>
      <w:r w:rsidR="00B12AAD" w:rsidRPr="00C02A2C">
        <w:rPr>
          <w:rFonts w:ascii="Verdana" w:hAnsi="Verdana"/>
          <w:i/>
          <w:sz w:val="22"/>
          <w:szCs w:val="22"/>
        </w:rPr>
        <w:t xml:space="preserve"> for school</w:t>
      </w:r>
      <w:r w:rsidR="003765B0" w:rsidRPr="00C02A2C">
        <w:rPr>
          <w:rFonts w:ascii="Verdana" w:hAnsi="Verdana"/>
          <w:i/>
          <w:sz w:val="22"/>
          <w:szCs w:val="22"/>
        </w:rPr>
        <w:t xml:space="preserve"> purchased</w:t>
      </w:r>
      <w:r w:rsidR="00B12AAD" w:rsidRPr="00C02A2C">
        <w:rPr>
          <w:rFonts w:ascii="Verdana" w:hAnsi="Verdana"/>
          <w:i/>
          <w:sz w:val="22"/>
          <w:szCs w:val="22"/>
        </w:rPr>
        <w:t xml:space="preserve"> AT</w:t>
      </w:r>
      <w:r w:rsidR="004F7760" w:rsidRPr="00C02A2C">
        <w:rPr>
          <w:rFonts w:ascii="Verdana" w:hAnsi="Verdana"/>
          <w:i/>
          <w:sz w:val="22"/>
          <w:szCs w:val="22"/>
        </w:rPr>
        <w:t xml:space="preserve"> </w:t>
      </w:r>
    </w:p>
    <w:p w:rsidR="007B53A4" w:rsidRPr="00C02A2C" w:rsidRDefault="00356088" w:rsidP="0090089F">
      <w:pPr>
        <w:rPr>
          <w:rFonts w:ascii="Verdana" w:hAnsi="Verdana"/>
          <w:sz w:val="22"/>
          <w:szCs w:val="22"/>
        </w:rPr>
      </w:pPr>
      <w:r w:rsidRPr="00C02A2C">
        <w:rPr>
          <w:rFonts w:ascii="Verdana" w:hAnsi="Verdana"/>
          <w:sz w:val="22"/>
          <w:szCs w:val="22"/>
        </w:rPr>
        <w:t xml:space="preserve">A more cross-agency approach that has been </w:t>
      </w:r>
      <w:r w:rsidR="007B53A4" w:rsidRPr="00C02A2C">
        <w:rPr>
          <w:rFonts w:ascii="Verdana" w:hAnsi="Verdana"/>
          <w:sz w:val="22"/>
          <w:szCs w:val="22"/>
        </w:rPr>
        <w:t xml:space="preserve">tried </w:t>
      </w:r>
      <w:r w:rsidRPr="00C02A2C">
        <w:rPr>
          <w:rFonts w:ascii="Verdana" w:hAnsi="Verdana"/>
          <w:sz w:val="22"/>
          <w:szCs w:val="22"/>
        </w:rPr>
        <w:t>in some</w:t>
      </w:r>
      <w:r w:rsidR="007B53A4" w:rsidRPr="00C02A2C">
        <w:rPr>
          <w:rFonts w:ascii="Verdana" w:hAnsi="Verdana"/>
          <w:sz w:val="22"/>
          <w:szCs w:val="22"/>
        </w:rPr>
        <w:t xml:space="preserve"> places is a </w:t>
      </w:r>
      <w:r w:rsidR="00357936" w:rsidRPr="00C02A2C">
        <w:rPr>
          <w:rFonts w:ascii="Verdana" w:hAnsi="Verdana"/>
          <w:sz w:val="22"/>
          <w:szCs w:val="22"/>
        </w:rPr>
        <w:t xml:space="preserve">collaborative buying system where two agencies enter into an agreement to jointly purchase AT devices with a specific plan for the device to transfer with the student </w:t>
      </w:r>
      <w:r w:rsidR="003765B0" w:rsidRPr="00C02A2C">
        <w:rPr>
          <w:rFonts w:ascii="Verdana" w:hAnsi="Verdana"/>
          <w:sz w:val="22"/>
          <w:szCs w:val="22"/>
        </w:rPr>
        <w:t xml:space="preserve">as they move </w:t>
      </w:r>
      <w:r w:rsidR="00357936" w:rsidRPr="00C02A2C">
        <w:rPr>
          <w:rFonts w:ascii="Verdana" w:hAnsi="Verdana"/>
          <w:sz w:val="22"/>
          <w:szCs w:val="22"/>
        </w:rPr>
        <w:t xml:space="preserve">from </w:t>
      </w:r>
      <w:r w:rsidR="003765B0" w:rsidRPr="00C02A2C">
        <w:rPr>
          <w:rFonts w:ascii="Verdana" w:hAnsi="Verdana"/>
          <w:sz w:val="22"/>
          <w:szCs w:val="22"/>
        </w:rPr>
        <w:t xml:space="preserve">responsibility of </w:t>
      </w:r>
      <w:r w:rsidR="00357936" w:rsidRPr="00C02A2C">
        <w:rPr>
          <w:rFonts w:ascii="Verdana" w:hAnsi="Verdana"/>
          <w:sz w:val="22"/>
          <w:szCs w:val="22"/>
        </w:rPr>
        <w:t xml:space="preserve">one agency to </w:t>
      </w:r>
      <w:r w:rsidR="003765B0" w:rsidRPr="00C02A2C">
        <w:rPr>
          <w:rFonts w:ascii="Verdana" w:hAnsi="Verdana"/>
          <w:sz w:val="22"/>
          <w:szCs w:val="22"/>
        </w:rPr>
        <w:t>an</w:t>
      </w:r>
      <w:r w:rsidR="00357936" w:rsidRPr="00C02A2C">
        <w:rPr>
          <w:rFonts w:ascii="Verdana" w:hAnsi="Verdana"/>
          <w:sz w:val="22"/>
          <w:szCs w:val="22"/>
        </w:rPr>
        <w:t xml:space="preserve">other.  This approach has been used most effectively with schools and VR agencies where they agree to jointly purchase equipment </w:t>
      </w:r>
      <w:r w:rsidR="008730CF" w:rsidRPr="00C02A2C">
        <w:rPr>
          <w:rFonts w:ascii="Verdana" w:hAnsi="Verdana"/>
          <w:sz w:val="22"/>
          <w:szCs w:val="22"/>
        </w:rPr>
        <w:t xml:space="preserve">while a </w:t>
      </w:r>
      <w:r w:rsidR="00357936" w:rsidRPr="00C02A2C">
        <w:rPr>
          <w:rFonts w:ascii="Verdana" w:hAnsi="Verdana"/>
          <w:sz w:val="22"/>
          <w:szCs w:val="22"/>
        </w:rPr>
        <w:t>student</w:t>
      </w:r>
      <w:r w:rsidR="008730CF" w:rsidRPr="00C02A2C">
        <w:rPr>
          <w:rFonts w:ascii="Verdana" w:hAnsi="Verdana"/>
          <w:sz w:val="22"/>
          <w:szCs w:val="22"/>
        </w:rPr>
        <w:t xml:space="preserve"> is still in </w:t>
      </w:r>
      <w:r w:rsidR="00357936" w:rsidRPr="00C02A2C">
        <w:rPr>
          <w:rFonts w:ascii="Verdana" w:hAnsi="Verdana"/>
          <w:sz w:val="22"/>
          <w:szCs w:val="22"/>
        </w:rPr>
        <w:t xml:space="preserve">high school with an </w:t>
      </w:r>
      <w:r w:rsidR="00623FD9" w:rsidRPr="00C02A2C">
        <w:rPr>
          <w:rFonts w:ascii="Verdana" w:hAnsi="Verdana"/>
          <w:sz w:val="22"/>
          <w:szCs w:val="22"/>
        </w:rPr>
        <w:t xml:space="preserve">understanding </w:t>
      </w:r>
      <w:r w:rsidR="00357936" w:rsidRPr="00C02A2C">
        <w:rPr>
          <w:rFonts w:ascii="Verdana" w:hAnsi="Verdana"/>
          <w:sz w:val="22"/>
          <w:szCs w:val="22"/>
        </w:rPr>
        <w:t>that the equipment will go with the student to college</w:t>
      </w:r>
      <w:r w:rsidR="008730CF" w:rsidRPr="00C02A2C">
        <w:rPr>
          <w:rFonts w:ascii="Verdana" w:hAnsi="Verdana"/>
          <w:sz w:val="22"/>
          <w:szCs w:val="22"/>
        </w:rPr>
        <w:t xml:space="preserve"> or other post-</w:t>
      </w:r>
      <w:r w:rsidR="001842BA" w:rsidRPr="00C02A2C">
        <w:rPr>
          <w:rFonts w:ascii="Verdana" w:hAnsi="Verdana"/>
          <w:sz w:val="22"/>
          <w:szCs w:val="22"/>
        </w:rPr>
        <w:t>school</w:t>
      </w:r>
      <w:r w:rsidR="008730CF" w:rsidRPr="00C02A2C">
        <w:rPr>
          <w:rFonts w:ascii="Verdana" w:hAnsi="Verdana"/>
          <w:sz w:val="22"/>
          <w:szCs w:val="22"/>
        </w:rPr>
        <w:t xml:space="preserve"> setting</w:t>
      </w:r>
      <w:r w:rsidR="00357936" w:rsidRPr="00C02A2C">
        <w:rPr>
          <w:rFonts w:ascii="Verdana" w:hAnsi="Verdana"/>
          <w:sz w:val="22"/>
          <w:szCs w:val="22"/>
        </w:rPr>
        <w:t xml:space="preserve">.   </w:t>
      </w:r>
      <w:r w:rsidR="007B53A4" w:rsidRPr="00C02A2C">
        <w:rPr>
          <w:rFonts w:ascii="Verdana" w:hAnsi="Verdana"/>
          <w:sz w:val="22"/>
          <w:szCs w:val="22"/>
        </w:rPr>
        <w:t xml:space="preserve">This </w:t>
      </w:r>
      <w:r w:rsidR="00C623BC" w:rsidRPr="00C02A2C">
        <w:rPr>
          <w:rFonts w:ascii="Verdana" w:hAnsi="Verdana"/>
          <w:sz w:val="22"/>
          <w:szCs w:val="22"/>
        </w:rPr>
        <w:t xml:space="preserve">kind of agreement </w:t>
      </w:r>
      <w:r w:rsidR="007B53A4" w:rsidRPr="00C02A2C">
        <w:rPr>
          <w:rFonts w:ascii="Verdana" w:hAnsi="Verdana"/>
          <w:sz w:val="22"/>
          <w:szCs w:val="22"/>
        </w:rPr>
        <w:t>tend</w:t>
      </w:r>
      <w:r w:rsidR="008730CF" w:rsidRPr="00C02A2C">
        <w:rPr>
          <w:rFonts w:ascii="Verdana" w:hAnsi="Verdana"/>
          <w:sz w:val="22"/>
          <w:szCs w:val="22"/>
        </w:rPr>
        <w:t>s</w:t>
      </w:r>
      <w:r w:rsidR="007B53A4" w:rsidRPr="00C02A2C">
        <w:rPr>
          <w:rFonts w:ascii="Verdana" w:hAnsi="Verdana"/>
          <w:sz w:val="22"/>
          <w:szCs w:val="22"/>
        </w:rPr>
        <w:t xml:space="preserve"> to be </w:t>
      </w:r>
      <w:r w:rsidR="00C623BC" w:rsidRPr="00C02A2C">
        <w:rPr>
          <w:rFonts w:ascii="Verdana" w:hAnsi="Verdana"/>
          <w:sz w:val="22"/>
          <w:szCs w:val="22"/>
        </w:rPr>
        <w:t xml:space="preserve">informal, </w:t>
      </w:r>
      <w:r w:rsidR="007B53A4" w:rsidRPr="00C02A2C">
        <w:rPr>
          <w:rFonts w:ascii="Verdana" w:hAnsi="Verdana"/>
          <w:sz w:val="22"/>
          <w:szCs w:val="22"/>
        </w:rPr>
        <w:t xml:space="preserve">localized, </w:t>
      </w:r>
      <w:r w:rsidR="001842BA" w:rsidRPr="00C02A2C">
        <w:rPr>
          <w:rFonts w:ascii="Verdana" w:hAnsi="Verdana"/>
          <w:sz w:val="22"/>
          <w:szCs w:val="22"/>
        </w:rPr>
        <w:t xml:space="preserve">effected on a voluntary basis without generalizing into a routine process, </w:t>
      </w:r>
      <w:r w:rsidR="00C623BC" w:rsidRPr="00C02A2C">
        <w:rPr>
          <w:rFonts w:ascii="Verdana" w:hAnsi="Verdana"/>
          <w:sz w:val="22"/>
          <w:szCs w:val="22"/>
        </w:rPr>
        <w:t xml:space="preserve">and </w:t>
      </w:r>
      <w:r w:rsidR="001842BA" w:rsidRPr="00C02A2C">
        <w:rPr>
          <w:rFonts w:ascii="Verdana" w:hAnsi="Verdana"/>
          <w:sz w:val="22"/>
          <w:szCs w:val="22"/>
        </w:rPr>
        <w:t>dependent on a</w:t>
      </w:r>
      <w:r w:rsidR="007B53A4" w:rsidRPr="00C02A2C">
        <w:rPr>
          <w:rFonts w:ascii="Verdana" w:hAnsi="Verdana"/>
          <w:sz w:val="22"/>
          <w:szCs w:val="22"/>
        </w:rPr>
        <w:t xml:space="preserve"> good working relationship of the two </w:t>
      </w:r>
      <w:r w:rsidR="001842BA" w:rsidRPr="00C02A2C">
        <w:rPr>
          <w:rFonts w:ascii="Verdana" w:hAnsi="Verdana"/>
          <w:sz w:val="22"/>
          <w:szCs w:val="22"/>
        </w:rPr>
        <w:t>agencies and staff at the time.</w:t>
      </w:r>
    </w:p>
    <w:p w:rsidR="007B53A4" w:rsidRPr="00C02A2C" w:rsidRDefault="007B53A4" w:rsidP="0090089F">
      <w:pPr>
        <w:rPr>
          <w:rFonts w:ascii="Verdana" w:hAnsi="Verdana"/>
          <w:sz w:val="22"/>
          <w:szCs w:val="22"/>
        </w:rPr>
      </w:pPr>
    </w:p>
    <w:p w:rsidR="0006599C" w:rsidRPr="00C02A2C" w:rsidRDefault="008730CF" w:rsidP="003433AD">
      <w:pPr>
        <w:ind w:left="360"/>
        <w:rPr>
          <w:rFonts w:ascii="Verdana" w:hAnsi="Verdana"/>
          <w:sz w:val="22"/>
          <w:szCs w:val="22"/>
        </w:rPr>
      </w:pPr>
      <w:r w:rsidRPr="00C02A2C">
        <w:rPr>
          <w:rFonts w:ascii="Verdana" w:hAnsi="Verdana"/>
          <w:i/>
          <w:sz w:val="22"/>
          <w:szCs w:val="22"/>
        </w:rPr>
        <w:lastRenderedPageBreak/>
        <w:t>Advantages:</w:t>
      </w:r>
      <w:r w:rsidRPr="00C02A2C">
        <w:rPr>
          <w:rFonts w:ascii="Verdana" w:hAnsi="Verdana"/>
          <w:sz w:val="22"/>
          <w:szCs w:val="22"/>
        </w:rPr>
        <w:t xml:space="preserve">  A policy that required collaborative purchasing would need to be coupled with a broader policy that also required collaborative delivery of transition services for students with disabilities.  This kind of policy could have a positive impact on </w:t>
      </w:r>
      <w:r w:rsidR="003433AD" w:rsidRPr="00C02A2C">
        <w:rPr>
          <w:rFonts w:ascii="Verdana" w:hAnsi="Verdana"/>
          <w:sz w:val="22"/>
          <w:szCs w:val="22"/>
        </w:rPr>
        <w:t xml:space="preserve">many </w:t>
      </w:r>
      <w:r w:rsidRPr="00C02A2C">
        <w:rPr>
          <w:rFonts w:ascii="Verdana" w:hAnsi="Verdana"/>
          <w:sz w:val="22"/>
          <w:szCs w:val="22"/>
        </w:rPr>
        <w:t xml:space="preserve">transition </w:t>
      </w:r>
      <w:r w:rsidR="003433AD" w:rsidRPr="00C02A2C">
        <w:rPr>
          <w:rFonts w:ascii="Verdana" w:hAnsi="Verdana"/>
          <w:sz w:val="22"/>
          <w:szCs w:val="22"/>
        </w:rPr>
        <w:t xml:space="preserve">outcomes </w:t>
      </w:r>
      <w:r w:rsidRPr="00C02A2C">
        <w:rPr>
          <w:rFonts w:ascii="Verdana" w:hAnsi="Verdana"/>
          <w:sz w:val="22"/>
          <w:szCs w:val="22"/>
        </w:rPr>
        <w:t xml:space="preserve">along with supporting AT </w:t>
      </w:r>
      <w:r w:rsidR="00C623BC" w:rsidRPr="00C02A2C">
        <w:rPr>
          <w:rFonts w:ascii="Verdana" w:hAnsi="Verdana"/>
          <w:sz w:val="22"/>
          <w:szCs w:val="22"/>
        </w:rPr>
        <w:t xml:space="preserve">device </w:t>
      </w:r>
      <w:r w:rsidRPr="00C02A2C">
        <w:rPr>
          <w:rFonts w:ascii="Verdana" w:hAnsi="Verdana"/>
          <w:sz w:val="22"/>
          <w:szCs w:val="22"/>
        </w:rPr>
        <w:t>transfer.</w:t>
      </w:r>
    </w:p>
    <w:p w:rsidR="0006599C" w:rsidRPr="00C02A2C" w:rsidRDefault="0006599C" w:rsidP="003433AD">
      <w:pPr>
        <w:ind w:left="360"/>
        <w:rPr>
          <w:rFonts w:ascii="Verdana" w:hAnsi="Verdana"/>
          <w:i/>
          <w:sz w:val="22"/>
          <w:szCs w:val="22"/>
        </w:rPr>
      </w:pPr>
    </w:p>
    <w:p w:rsidR="0006599C" w:rsidRPr="00C02A2C" w:rsidRDefault="008730CF" w:rsidP="0006599C">
      <w:pPr>
        <w:ind w:left="360"/>
        <w:rPr>
          <w:rFonts w:ascii="Verdana" w:hAnsi="Verdana"/>
          <w:sz w:val="22"/>
          <w:szCs w:val="22"/>
        </w:rPr>
      </w:pPr>
      <w:r w:rsidRPr="00C02A2C">
        <w:rPr>
          <w:rFonts w:ascii="Verdana" w:hAnsi="Verdana"/>
          <w:i/>
          <w:sz w:val="22"/>
          <w:szCs w:val="22"/>
        </w:rPr>
        <w:t>Disadvantages:</w:t>
      </w:r>
      <w:r w:rsidRPr="00C02A2C">
        <w:rPr>
          <w:rFonts w:ascii="Verdana" w:hAnsi="Verdana"/>
          <w:sz w:val="22"/>
          <w:szCs w:val="22"/>
        </w:rPr>
        <w:t xml:space="preserve">  </w:t>
      </w:r>
      <w:r w:rsidR="003433AD" w:rsidRPr="00C02A2C">
        <w:rPr>
          <w:rFonts w:ascii="Verdana" w:hAnsi="Verdana"/>
          <w:sz w:val="22"/>
          <w:szCs w:val="22"/>
        </w:rPr>
        <w:t xml:space="preserve">Required collaboration is difficult to do through policy directive as </w:t>
      </w:r>
      <w:r w:rsidR="00C623BC" w:rsidRPr="00C02A2C">
        <w:rPr>
          <w:rFonts w:ascii="Verdana" w:hAnsi="Verdana"/>
          <w:sz w:val="22"/>
          <w:szCs w:val="22"/>
        </w:rPr>
        <w:t xml:space="preserve">it </w:t>
      </w:r>
      <w:r w:rsidR="003433AD" w:rsidRPr="00C02A2C">
        <w:rPr>
          <w:rFonts w:ascii="Verdana" w:hAnsi="Verdana"/>
          <w:sz w:val="22"/>
          <w:szCs w:val="22"/>
        </w:rPr>
        <w:t>is dependent on relationships at the implementation level.  Mandating non-school agencies participate in the delivery of transition services before a student finishes high school would require significant new resource</w:t>
      </w:r>
      <w:r w:rsidR="00C623BC" w:rsidRPr="00C02A2C">
        <w:rPr>
          <w:rFonts w:ascii="Verdana" w:hAnsi="Verdana"/>
          <w:sz w:val="22"/>
          <w:szCs w:val="22"/>
        </w:rPr>
        <w:t>s</w:t>
      </w:r>
      <w:r w:rsidR="003433AD" w:rsidRPr="00C02A2C">
        <w:rPr>
          <w:rFonts w:ascii="Verdana" w:hAnsi="Verdana"/>
          <w:sz w:val="22"/>
          <w:szCs w:val="22"/>
        </w:rPr>
        <w:t xml:space="preserve"> or reallocation of current resources.</w:t>
      </w:r>
    </w:p>
    <w:p w:rsidR="008730CF" w:rsidRPr="00C02A2C" w:rsidRDefault="0006599C" w:rsidP="0006599C">
      <w:pPr>
        <w:ind w:left="360"/>
        <w:rPr>
          <w:rFonts w:ascii="Verdana" w:hAnsi="Verdana"/>
          <w:sz w:val="22"/>
          <w:szCs w:val="22"/>
        </w:rPr>
      </w:pPr>
      <w:r w:rsidRPr="00C02A2C">
        <w:rPr>
          <w:rFonts w:ascii="Verdana" w:hAnsi="Verdana"/>
          <w:sz w:val="22"/>
          <w:szCs w:val="22"/>
        </w:rPr>
        <w:t xml:space="preserve"> </w:t>
      </w:r>
    </w:p>
    <w:p w:rsidR="00B12AAD" w:rsidRPr="00C02A2C" w:rsidRDefault="00EB72CC" w:rsidP="0090089F">
      <w:pPr>
        <w:rPr>
          <w:rFonts w:ascii="Verdana" w:hAnsi="Verdana"/>
          <w:i/>
          <w:sz w:val="22"/>
          <w:szCs w:val="22"/>
        </w:rPr>
      </w:pPr>
      <w:r w:rsidRPr="00C02A2C">
        <w:rPr>
          <w:rFonts w:ascii="Verdana" w:hAnsi="Verdana"/>
          <w:i/>
          <w:sz w:val="22"/>
          <w:szCs w:val="22"/>
        </w:rPr>
        <w:t>5</w:t>
      </w:r>
      <w:r w:rsidR="00B12AAD" w:rsidRPr="00C02A2C">
        <w:rPr>
          <w:rFonts w:ascii="Verdana" w:hAnsi="Verdana"/>
          <w:i/>
          <w:sz w:val="22"/>
          <w:szCs w:val="22"/>
        </w:rPr>
        <w:t xml:space="preserve">)  </w:t>
      </w:r>
      <w:r w:rsidR="003765B0" w:rsidRPr="00C02A2C">
        <w:rPr>
          <w:rFonts w:ascii="Verdana" w:hAnsi="Verdana"/>
          <w:i/>
          <w:sz w:val="22"/>
          <w:szCs w:val="22"/>
        </w:rPr>
        <w:t>R</w:t>
      </w:r>
      <w:r w:rsidR="00B12AAD" w:rsidRPr="00C02A2C">
        <w:rPr>
          <w:rFonts w:ascii="Verdana" w:hAnsi="Verdana"/>
          <w:i/>
          <w:sz w:val="22"/>
          <w:szCs w:val="22"/>
        </w:rPr>
        <w:t>e</w:t>
      </w:r>
      <w:r w:rsidR="003765B0" w:rsidRPr="00C02A2C">
        <w:rPr>
          <w:rFonts w:ascii="Verdana" w:hAnsi="Verdana"/>
          <w:i/>
          <w:sz w:val="22"/>
          <w:szCs w:val="22"/>
        </w:rPr>
        <w:t>furbish</w:t>
      </w:r>
      <w:r w:rsidR="00B12AAD" w:rsidRPr="00C02A2C">
        <w:rPr>
          <w:rFonts w:ascii="Verdana" w:hAnsi="Verdana"/>
          <w:i/>
          <w:sz w:val="22"/>
          <w:szCs w:val="22"/>
        </w:rPr>
        <w:t>/re</w:t>
      </w:r>
      <w:r w:rsidR="003765B0" w:rsidRPr="00C02A2C">
        <w:rPr>
          <w:rFonts w:ascii="Verdana" w:hAnsi="Verdana"/>
          <w:i/>
          <w:sz w:val="22"/>
          <w:szCs w:val="22"/>
        </w:rPr>
        <w:t>assign</w:t>
      </w:r>
      <w:r w:rsidR="00B12AAD" w:rsidRPr="00C02A2C">
        <w:rPr>
          <w:rFonts w:ascii="Verdana" w:hAnsi="Verdana"/>
          <w:i/>
          <w:sz w:val="22"/>
          <w:szCs w:val="22"/>
        </w:rPr>
        <w:t xml:space="preserve"> school purchased AT </w:t>
      </w:r>
    </w:p>
    <w:p w:rsidR="0006599C" w:rsidRPr="00C02A2C" w:rsidRDefault="00952512" w:rsidP="0090089F">
      <w:pPr>
        <w:rPr>
          <w:rFonts w:ascii="Verdana" w:hAnsi="Verdana"/>
          <w:sz w:val="22"/>
          <w:szCs w:val="22"/>
        </w:rPr>
      </w:pPr>
      <w:r w:rsidRPr="00C02A2C">
        <w:rPr>
          <w:rFonts w:ascii="Verdana" w:hAnsi="Verdana"/>
          <w:sz w:val="22"/>
          <w:szCs w:val="22"/>
        </w:rPr>
        <w:t xml:space="preserve">Some </w:t>
      </w:r>
      <w:r w:rsidR="007B53A4" w:rsidRPr="00C02A2C">
        <w:rPr>
          <w:rFonts w:ascii="Verdana" w:hAnsi="Verdana"/>
          <w:sz w:val="22"/>
          <w:szCs w:val="22"/>
        </w:rPr>
        <w:t xml:space="preserve">states have implemented equipment </w:t>
      </w:r>
      <w:r w:rsidR="003765B0" w:rsidRPr="00C02A2C">
        <w:rPr>
          <w:rFonts w:ascii="Verdana" w:hAnsi="Verdana"/>
          <w:sz w:val="22"/>
          <w:szCs w:val="22"/>
        </w:rPr>
        <w:t>refurbish/</w:t>
      </w:r>
      <w:r w:rsidR="007B53A4" w:rsidRPr="00C02A2C">
        <w:rPr>
          <w:rFonts w:ascii="Verdana" w:hAnsi="Verdana"/>
          <w:sz w:val="22"/>
          <w:szCs w:val="22"/>
        </w:rPr>
        <w:t>reassignment programs focused specifically on schools</w:t>
      </w:r>
      <w:r w:rsidRPr="00C02A2C">
        <w:rPr>
          <w:rFonts w:ascii="Verdana" w:hAnsi="Verdana"/>
          <w:sz w:val="22"/>
          <w:szCs w:val="22"/>
        </w:rPr>
        <w:t xml:space="preserve"> and similar programs have been established within large districts and at a regional or intermediate unit level</w:t>
      </w:r>
      <w:r w:rsidR="007B53A4" w:rsidRPr="00C02A2C">
        <w:rPr>
          <w:rFonts w:ascii="Verdana" w:hAnsi="Verdana"/>
          <w:sz w:val="22"/>
          <w:szCs w:val="22"/>
        </w:rPr>
        <w:t xml:space="preserve">.  </w:t>
      </w:r>
      <w:r w:rsidR="00B12AAD" w:rsidRPr="00C02A2C">
        <w:rPr>
          <w:rFonts w:ascii="Verdana" w:hAnsi="Verdana"/>
          <w:sz w:val="22"/>
          <w:szCs w:val="22"/>
        </w:rPr>
        <w:t>To date these programs have been operated on a voluntary basis</w:t>
      </w:r>
      <w:r w:rsidR="0045473B" w:rsidRPr="00C02A2C">
        <w:rPr>
          <w:rFonts w:ascii="Verdana" w:hAnsi="Verdana"/>
          <w:sz w:val="22"/>
          <w:szCs w:val="22"/>
        </w:rPr>
        <w:t xml:space="preserve">, i.e. there have not been requirements for </w:t>
      </w:r>
      <w:r w:rsidR="00B12AAD" w:rsidRPr="00C02A2C">
        <w:rPr>
          <w:rFonts w:ascii="Verdana" w:hAnsi="Verdana"/>
          <w:sz w:val="22"/>
          <w:szCs w:val="22"/>
        </w:rPr>
        <w:t>equipment</w:t>
      </w:r>
      <w:r w:rsidR="00053534">
        <w:rPr>
          <w:rFonts w:ascii="Verdana" w:hAnsi="Verdana"/>
          <w:sz w:val="22"/>
          <w:szCs w:val="22"/>
        </w:rPr>
        <w:t xml:space="preserve"> to</w:t>
      </w:r>
      <w:r w:rsidR="00B12AAD" w:rsidRPr="00C02A2C">
        <w:rPr>
          <w:rFonts w:ascii="Verdana" w:hAnsi="Verdana"/>
          <w:sz w:val="22"/>
          <w:szCs w:val="22"/>
        </w:rPr>
        <w:t xml:space="preserve"> go to such programs when specific conditions are met.</w:t>
      </w:r>
    </w:p>
    <w:p w:rsidR="00B12AAD" w:rsidRPr="00C02A2C" w:rsidRDefault="0006599C" w:rsidP="0090089F">
      <w:pPr>
        <w:rPr>
          <w:rFonts w:ascii="Verdana" w:hAnsi="Verdana"/>
          <w:sz w:val="22"/>
          <w:szCs w:val="22"/>
        </w:rPr>
      </w:pPr>
      <w:r w:rsidRPr="00C02A2C">
        <w:rPr>
          <w:rFonts w:ascii="Verdana" w:hAnsi="Verdana"/>
          <w:sz w:val="22"/>
          <w:szCs w:val="22"/>
        </w:rPr>
        <w:t xml:space="preserve"> </w:t>
      </w:r>
    </w:p>
    <w:p w:rsidR="0006599C" w:rsidRPr="00C02A2C" w:rsidRDefault="00AD5AEE" w:rsidP="00F3620D">
      <w:pPr>
        <w:ind w:left="360"/>
        <w:rPr>
          <w:rFonts w:ascii="Verdana" w:hAnsi="Verdana"/>
          <w:sz w:val="22"/>
          <w:szCs w:val="22"/>
        </w:rPr>
      </w:pPr>
      <w:r w:rsidRPr="00C02A2C">
        <w:rPr>
          <w:rFonts w:ascii="Verdana" w:hAnsi="Verdana"/>
          <w:i/>
          <w:sz w:val="22"/>
          <w:szCs w:val="22"/>
        </w:rPr>
        <w:t>Advantages:</w:t>
      </w:r>
      <w:r w:rsidRPr="00C02A2C">
        <w:rPr>
          <w:rFonts w:ascii="Verdana" w:hAnsi="Verdana"/>
          <w:sz w:val="22"/>
          <w:szCs w:val="22"/>
        </w:rPr>
        <w:t xml:space="preserve">  </w:t>
      </w:r>
      <w:r w:rsidR="00952512" w:rsidRPr="00C02A2C">
        <w:rPr>
          <w:rFonts w:ascii="Verdana" w:hAnsi="Verdana"/>
          <w:sz w:val="22"/>
          <w:szCs w:val="22"/>
        </w:rPr>
        <w:t xml:space="preserve">For AT that is fairly ubiquitous (e.g. multipurpose use adaptive keyboards) and even some AT whose use is more limited to certain types of students (e.g. </w:t>
      </w:r>
      <w:r w:rsidR="001842BA" w:rsidRPr="00C02A2C">
        <w:rPr>
          <w:rFonts w:ascii="Verdana" w:hAnsi="Verdana"/>
          <w:sz w:val="22"/>
          <w:szCs w:val="22"/>
        </w:rPr>
        <w:t>video magnifiers or inexpensive</w:t>
      </w:r>
      <w:r w:rsidR="00952512" w:rsidRPr="00C02A2C">
        <w:rPr>
          <w:rFonts w:ascii="Verdana" w:hAnsi="Verdana"/>
          <w:sz w:val="22"/>
          <w:szCs w:val="22"/>
        </w:rPr>
        <w:t xml:space="preserve"> communication devices) these programs </w:t>
      </w:r>
      <w:r w:rsidRPr="00C02A2C">
        <w:rPr>
          <w:rFonts w:ascii="Verdana" w:hAnsi="Verdana"/>
          <w:sz w:val="22"/>
          <w:szCs w:val="22"/>
        </w:rPr>
        <w:t xml:space="preserve">can offer </w:t>
      </w:r>
      <w:r w:rsidR="00952512" w:rsidRPr="00C02A2C">
        <w:rPr>
          <w:rFonts w:ascii="Verdana" w:hAnsi="Verdana"/>
          <w:sz w:val="22"/>
          <w:szCs w:val="22"/>
        </w:rPr>
        <w:t>a</w:t>
      </w:r>
      <w:r w:rsidR="005915AF" w:rsidRPr="00C02A2C">
        <w:rPr>
          <w:rFonts w:ascii="Verdana" w:hAnsi="Verdana"/>
          <w:sz w:val="22"/>
          <w:szCs w:val="22"/>
        </w:rPr>
        <w:t xml:space="preserve"> cost-</w:t>
      </w:r>
      <w:r w:rsidR="00952512" w:rsidRPr="00C02A2C">
        <w:rPr>
          <w:rFonts w:ascii="Verdana" w:hAnsi="Verdana"/>
          <w:sz w:val="22"/>
          <w:szCs w:val="22"/>
        </w:rPr>
        <w:t>effectiv</w:t>
      </w:r>
      <w:r w:rsidRPr="00C02A2C">
        <w:rPr>
          <w:rFonts w:ascii="Verdana" w:hAnsi="Verdana"/>
          <w:sz w:val="22"/>
          <w:szCs w:val="22"/>
        </w:rPr>
        <w:t>e way of transferring devices.  They can also provide valuable AT expertise and equipment repair/refurbishment services.</w:t>
      </w:r>
    </w:p>
    <w:p w:rsidR="0006599C" w:rsidRPr="00C02A2C" w:rsidRDefault="0006599C" w:rsidP="00F3620D">
      <w:pPr>
        <w:ind w:left="360"/>
        <w:rPr>
          <w:rFonts w:ascii="Verdana" w:hAnsi="Verdana"/>
          <w:i/>
          <w:sz w:val="22"/>
          <w:szCs w:val="22"/>
        </w:rPr>
      </w:pPr>
    </w:p>
    <w:p w:rsidR="007B53A4" w:rsidRPr="00C02A2C" w:rsidRDefault="0006599C" w:rsidP="00F3620D">
      <w:pPr>
        <w:ind w:left="360"/>
        <w:rPr>
          <w:rFonts w:ascii="Verdana" w:hAnsi="Verdana"/>
          <w:sz w:val="22"/>
          <w:szCs w:val="22"/>
        </w:rPr>
      </w:pPr>
      <w:r w:rsidRPr="00C02A2C">
        <w:rPr>
          <w:rFonts w:ascii="Verdana" w:hAnsi="Verdana"/>
          <w:i/>
          <w:sz w:val="22"/>
          <w:szCs w:val="22"/>
        </w:rPr>
        <w:t xml:space="preserve"> </w:t>
      </w:r>
      <w:r w:rsidR="00AD5AEE" w:rsidRPr="00C02A2C">
        <w:rPr>
          <w:rFonts w:ascii="Verdana" w:hAnsi="Verdana"/>
          <w:i/>
          <w:sz w:val="22"/>
          <w:szCs w:val="22"/>
        </w:rPr>
        <w:t>Disadvantages:</w:t>
      </w:r>
      <w:r w:rsidR="00AD5AEE" w:rsidRPr="00C02A2C">
        <w:rPr>
          <w:rFonts w:ascii="Verdana" w:hAnsi="Verdana"/>
          <w:sz w:val="22"/>
          <w:szCs w:val="22"/>
        </w:rPr>
        <w:t xml:space="preserve">  T</w:t>
      </w:r>
      <w:r w:rsidR="001636DE" w:rsidRPr="00C02A2C">
        <w:rPr>
          <w:rFonts w:ascii="Verdana" w:hAnsi="Verdana"/>
          <w:sz w:val="22"/>
          <w:szCs w:val="22"/>
        </w:rPr>
        <w:t xml:space="preserve">hese programs have </w:t>
      </w:r>
      <w:r w:rsidR="00AD5AEE" w:rsidRPr="00C02A2C">
        <w:rPr>
          <w:rFonts w:ascii="Verdana" w:hAnsi="Verdana"/>
          <w:sz w:val="22"/>
          <w:szCs w:val="22"/>
        </w:rPr>
        <w:t xml:space="preserve">not </w:t>
      </w:r>
      <w:r w:rsidR="001636DE" w:rsidRPr="00C02A2C">
        <w:rPr>
          <w:rFonts w:ascii="Verdana" w:hAnsi="Verdana"/>
          <w:sz w:val="22"/>
          <w:szCs w:val="22"/>
        </w:rPr>
        <w:t>enjoyed widespread acceptance or comprehensive use by schools</w:t>
      </w:r>
      <w:r w:rsidR="00C623BC" w:rsidRPr="00C02A2C">
        <w:rPr>
          <w:rFonts w:ascii="Verdana" w:hAnsi="Verdana"/>
          <w:sz w:val="22"/>
          <w:szCs w:val="22"/>
        </w:rPr>
        <w:t>,</w:t>
      </w:r>
      <w:r w:rsidR="00AD5AEE" w:rsidRPr="00C02A2C">
        <w:rPr>
          <w:rFonts w:ascii="Verdana" w:hAnsi="Verdana"/>
          <w:sz w:val="22"/>
          <w:szCs w:val="22"/>
        </w:rPr>
        <w:t xml:space="preserve"> making it difficult to establish a pool of equipment that is able to meet most school AT needs.  A</w:t>
      </w:r>
      <w:r w:rsidR="00C623BC" w:rsidRPr="00C02A2C">
        <w:rPr>
          <w:rFonts w:ascii="Verdana" w:hAnsi="Verdana"/>
          <w:sz w:val="22"/>
          <w:szCs w:val="22"/>
        </w:rPr>
        <w:t>ttempts to develop or implement a</w:t>
      </w:r>
      <w:r w:rsidR="00AD5AEE" w:rsidRPr="00C02A2C">
        <w:rPr>
          <w:rFonts w:ascii="Verdana" w:hAnsi="Verdana"/>
          <w:sz w:val="22"/>
          <w:szCs w:val="22"/>
        </w:rPr>
        <w:t xml:space="preserve"> policy </w:t>
      </w:r>
      <w:r w:rsidR="00F3620D" w:rsidRPr="00C02A2C">
        <w:rPr>
          <w:rFonts w:ascii="Verdana" w:hAnsi="Verdana"/>
          <w:sz w:val="22"/>
          <w:szCs w:val="22"/>
        </w:rPr>
        <w:t xml:space="preserve">that </w:t>
      </w:r>
      <w:r w:rsidR="00AD5AEE" w:rsidRPr="00C02A2C">
        <w:rPr>
          <w:rFonts w:ascii="Verdana" w:hAnsi="Verdana"/>
          <w:sz w:val="22"/>
          <w:szCs w:val="22"/>
        </w:rPr>
        <w:t>requir</w:t>
      </w:r>
      <w:r w:rsidR="00F3620D" w:rsidRPr="00C02A2C">
        <w:rPr>
          <w:rFonts w:ascii="Verdana" w:hAnsi="Verdana"/>
          <w:sz w:val="22"/>
          <w:szCs w:val="22"/>
        </w:rPr>
        <w:t>es</w:t>
      </w:r>
      <w:r w:rsidR="001842BA" w:rsidRPr="00C02A2C">
        <w:rPr>
          <w:rFonts w:ascii="Verdana" w:hAnsi="Verdana"/>
          <w:sz w:val="22"/>
          <w:szCs w:val="22"/>
        </w:rPr>
        <w:t xml:space="preserve"> equipment to </w:t>
      </w:r>
      <w:r w:rsidR="00AD5AEE" w:rsidRPr="00C02A2C">
        <w:rPr>
          <w:rFonts w:ascii="Verdana" w:hAnsi="Verdana"/>
          <w:sz w:val="22"/>
          <w:szCs w:val="22"/>
        </w:rPr>
        <w:t xml:space="preserve">be obtained from </w:t>
      </w:r>
      <w:r w:rsidR="00F3620D" w:rsidRPr="00C02A2C">
        <w:rPr>
          <w:rFonts w:ascii="Verdana" w:hAnsi="Verdana"/>
          <w:sz w:val="22"/>
          <w:szCs w:val="22"/>
        </w:rPr>
        <w:t xml:space="preserve">a </w:t>
      </w:r>
      <w:r w:rsidR="00AD5AEE" w:rsidRPr="00C02A2C">
        <w:rPr>
          <w:rFonts w:ascii="Verdana" w:hAnsi="Verdana"/>
          <w:sz w:val="22"/>
          <w:szCs w:val="22"/>
        </w:rPr>
        <w:t xml:space="preserve">reutilization </w:t>
      </w:r>
      <w:r w:rsidR="00C623BC" w:rsidRPr="00C02A2C">
        <w:rPr>
          <w:rFonts w:ascii="Verdana" w:hAnsi="Verdana"/>
          <w:sz w:val="22"/>
          <w:szCs w:val="22"/>
        </w:rPr>
        <w:t xml:space="preserve">program </w:t>
      </w:r>
      <w:r w:rsidR="00F3620D" w:rsidRPr="00C02A2C">
        <w:rPr>
          <w:rFonts w:ascii="Verdana" w:hAnsi="Verdana"/>
          <w:sz w:val="22"/>
          <w:szCs w:val="22"/>
        </w:rPr>
        <w:t>would likely meet with opposition from sc</w:t>
      </w:r>
      <w:r w:rsidR="001842BA" w:rsidRPr="00C02A2C">
        <w:rPr>
          <w:rFonts w:ascii="Verdana" w:hAnsi="Verdana"/>
          <w:sz w:val="22"/>
          <w:szCs w:val="22"/>
        </w:rPr>
        <w:t>hools and potentially, from parents.</w:t>
      </w:r>
    </w:p>
    <w:p w:rsidR="00FE2F88" w:rsidRPr="008A5442" w:rsidRDefault="00FE2F88" w:rsidP="0090089F">
      <w:pPr>
        <w:rPr>
          <w:rFonts w:ascii="Verdana" w:hAnsi="Verdana"/>
          <w:sz w:val="22"/>
          <w:szCs w:val="22"/>
        </w:rPr>
      </w:pPr>
    </w:p>
    <w:p w:rsidR="00FE2F88" w:rsidRPr="008A5442" w:rsidRDefault="00FE2F88" w:rsidP="005915AF">
      <w:pPr>
        <w:pStyle w:val="Heading2"/>
        <w:rPr>
          <w:rFonts w:ascii="Verdana" w:hAnsi="Verdana"/>
          <w:b/>
          <w:color w:val="auto"/>
          <w:sz w:val="24"/>
          <w:szCs w:val="24"/>
        </w:rPr>
      </w:pPr>
      <w:r w:rsidRPr="008A5442">
        <w:rPr>
          <w:rFonts w:ascii="Verdana" w:hAnsi="Verdana"/>
          <w:b/>
          <w:color w:val="auto"/>
          <w:sz w:val="24"/>
          <w:szCs w:val="24"/>
        </w:rPr>
        <w:t>Conclusion</w:t>
      </w:r>
    </w:p>
    <w:p w:rsidR="00F3308A" w:rsidRPr="008A5442" w:rsidRDefault="00FE2F88" w:rsidP="00F3308A">
      <w:pPr>
        <w:rPr>
          <w:rFonts w:ascii="Verdana" w:hAnsi="Verdana"/>
          <w:sz w:val="22"/>
          <w:szCs w:val="22"/>
        </w:rPr>
      </w:pPr>
      <w:r w:rsidRPr="008A5442">
        <w:rPr>
          <w:rFonts w:ascii="Verdana" w:hAnsi="Verdana"/>
          <w:sz w:val="22"/>
          <w:szCs w:val="22"/>
        </w:rPr>
        <w:t>Al</w:t>
      </w:r>
      <w:r w:rsidR="00F3308A" w:rsidRPr="008A5442">
        <w:rPr>
          <w:rFonts w:ascii="Verdana" w:hAnsi="Verdana"/>
          <w:sz w:val="22"/>
          <w:szCs w:val="22"/>
        </w:rPr>
        <w:t xml:space="preserve">most everyone agrees that it would be helpful for assistive technology devices to seamlessly follow students </w:t>
      </w:r>
      <w:r w:rsidR="003765B0" w:rsidRPr="008A5442">
        <w:rPr>
          <w:rFonts w:ascii="Verdana" w:hAnsi="Verdana"/>
          <w:sz w:val="22"/>
          <w:szCs w:val="22"/>
        </w:rPr>
        <w:t xml:space="preserve">between </w:t>
      </w:r>
      <w:r w:rsidR="00F3308A" w:rsidRPr="008A5442">
        <w:rPr>
          <w:rFonts w:ascii="Verdana" w:hAnsi="Verdana"/>
          <w:sz w:val="22"/>
          <w:szCs w:val="22"/>
        </w:rPr>
        <w:t>school</w:t>
      </w:r>
      <w:r w:rsidR="003765B0" w:rsidRPr="008A5442">
        <w:rPr>
          <w:rFonts w:ascii="Verdana" w:hAnsi="Verdana"/>
          <w:sz w:val="22"/>
          <w:szCs w:val="22"/>
        </w:rPr>
        <w:t>s</w:t>
      </w:r>
      <w:r w:rsidR="00F3308A" w:rsidRPr="008A5442">
        <w:rPr>
          <w:rFonts w:ascii="Verdana" w:hAnsi="Verdana"/>
          <w:sz w:val="22"/>
          <w:szCs w:val="22"/>
        </w:rPr>
        <w:t xml:space="preserve"> and from school to post-s</w:t>
      </w:r>
      <w:r w:rsidR="003765B0" w:rsidRPr="008A5442">
        <w:rPr>
          <w:rFonts w:ascii="Verdana" w:hAnsi="Verdana"/>
          <w:sz w:val="22"/>
          <w:szCs w:val="22"/>
        </w:rPr>
        <w:t xml:space="preserve">chool </w:t>
      </w:r>
      <w:r w:rsidR="00F3308A" w:rsidRPr="008A5442">
        <w:rPr>
          <w:rFonts w:ascii="Verdana" w:hAnsi="Verdana"/>
          <w:sz w:val="22"/>
          <w:szCs w:val="22"/>
        </w:rPr>
        <w:t>settings</w:t>
      </w:r>
      <w:r w:rsidRPr="008A5442">
        <w:rPr>
          <w:rFonts w:ascii="Verdana" w:hAnsi="Verdana"/>
          <w:sz w:val="22"/>
          <w:szCs w:val="22"/>
        </w:rPr>
        <w:t>.  However</w:t>
      </w:r>
      <w:r w:rsidR="00F3308A" w:rsidRPr="008A5442">
        <w:rPr>
          <w:rFonts w:ascii="Verdana" w:hAnsi="Verdana"/>
          <w:sz w:val="22"/>
          <w:szCs w:val="22"/>
        </w:rPr>
        <w:t xml:space="preserve">, existing equipment disposition policies are not particularly supportive of such transfers.  Virtually all </w:t>
      </w:r>
      <w:r w:rsidRPr="008A5442">
        <w:rPr>
          <w:rFonts w:ascii="Verdana" w:hAnsi="Verdana"/>
          <w:sz w:val="22"/>
          <w:szCs w:val="22"/>
        </w:rPr>
        <w:t xml:space="preserve">current </w:t>
      </w:r>
      <w:r w:rsidR="00F3308A" w:rsidRPr="008A5442">
        <w:rPr>
          <w:rFonts w:ascii="Verdana" w:hAnsi="Verdana"/>
          <w:sz w:val="22"/>
          <w:szCs w:val="22"/>
        </w:rPr>
        <w:t>policies</w:t>
      </w:r>
      <w:r w:rsidRPr="008A5442">
        <w:rPr>
          <w:rFonts w:ascii="Verdana" w:hAnsi="Verdana"/>
          <w:sz w:val="22"/>
          <w:szCs w:val="22"/>
        </w:rPr>
        <w:t xml:space="preserve"> at a federal, state or local level</w:t>
      </w:r>
      <w:r w:rsidR="00F3308A" w:rsidRPr="008A5442">
        <w:rPr>
          <w:rFonts w:ascii="Verdana" w:hAnsi="Verdana"/>
          <w:sz w:val="22"/>
          <w:szCs w:val="22"/>
        </w:rPr>
        <w:t xml:space="preserve"> allow districts to keep equipment they determine has a continued use and even when equipment is determined to be “no longer needed”, there is no affirmative requirement or incentive for the district to transfer or sell AT devices.  In addition, some state/local policies may have disincentives (albeit probably unintentional) for device transfer.  </w:t>
      </w:r>
      <w:r w:rsidR="00C623BC" w:rsidRPr="008A5442">
        <w:rPr>
          <w:rFonts w:ascii="Verdana" w:hAnsi="Verdana"/>
          <w:sz w:val="22"/>
          <w:szCs w:val="22"/>
        </w:rPr>
        <w:t xml:space="preserve">The simplest course of action for schools seems to be </w:t>
      </w:r>
      <w:r w:rsidR="00F3308A" w:rsidRPr="008A5442">
        <w:rPr>
          <w:rFonts w:ascii="Verdana" w:hAnsi="Verdana"/>
          <w:sz w:val="22"/>
          <w:szCs w:val="22"/>
        </w:rPr>
        <w:t>to u</w:t>
      </w:r>
      <w:r w:rsidR="00C623BC" w:rsidRPr="008A5442">
        <w:rPr>
          <w:rFonts w:ascii="Verdana" w:hAnsi="Verdana"/>
          <w:sz w:val="22"/>
          <w:szCs w:val="22"/>
        </w:rPr>
        <w:t>tilize procedures that are the least difficult</w:t>
      </w:r>
      <w:r w:rsidR="00F3308A" w:rsidRPr="008A5442">
        <w:rPr>
          <w:rFonts w:ascii="Verdana" w:hAnsi="Verdana"/>
          <w:sz w:val="22"/>
          <w:szCs w:val="22"/>
        </w:rPr>
        <w:t xml:space="preserve"> to implement – which means most tend to hold </w:t>
      </w:r>
      <w:r w:rsidR="00C623BC" w:rsidRPr="008A5442">
        <w:rPr>
          <w:rFonts w:ascii="Verdana" w:hAnsi="Verdana"/>
          <w:sz w:val="22"/>
          <w:szCs w:val="22"/>
        </w:rPr>
        <w:t>on to AT devices “just in case”.</w:t>
      </w:r>
    </w:p>
    <w:p w:rsidR="00C1133C" w:rsidRPr="008A5442" w:rsidRDefault="00C1133C" w:rsidP="00833D77">
      <w:pPr>
        <w:rPr>
          <w:rFonts w:ascii="Verdana" w:hAnsi="Verdana"/>
          <w:sz w:val="22"/>
          <w:szCs w:val="22"/>
        </w:rPr>
      </w:pPr>
    </w:p>
    <w:p w:rsidR="002F4961" w:rsidRPr="008A5442" w:rsidRDefault="00832345" w:rsidP="005915AF">
      <w:pPr>
        <w:rPr>
          <w:rFonts w:ascii="Verdana" w:hAnsi="Verdana"/>
          <w:sz w:val="22"/>
          <w:szCs w:val="22"/>
        </w:rPr>
      </w:pPr>
      <w:r w:rsidRPr="008A5442">
        <w:rPr>
          <w:rFonts w:ascii="Verdana" w:hAnsi="Verdana"/>
          <w:sz w:val="22"/>
          <w:szCs w:val="22"/>
        </w:rPr>
        <w:t xml:space="preserve">This document identifies a number of options that might be considered as mechanisms to improve AT transfer policies and practices.  Further discussion with appropriate stakeholders could identify additional ideas that are viable </w:t>
      </w:r>
      <w:r w:rsidR="002F4961" w:rsidRPr="008A5442">
        <w:rPr>
          <w:rFonts w:ascii="Verdana" w:hAnsi="Verdana"/>
          <w:sz w:val="22"/>
          <w:szCs w:val="22"/>
        </w:rPr>
        <w:t xml:space="preserve">approaches or alternatives could be combined to support AT transfer.   For any option </w:t>
      </w:r>
      <w:r w:rsidR="002F4961" w:rsidRPr="008A5442">
        <w:rPr>
          <w:rFonts w:ascii="Verdana" w:hAnsi="Verdana"/>
          <w:sz w:val="22"/>
          <w:szCs w:val="22"/>
        </w:rPr>
        <w:lastRenderedPageBreak/>
        <w:t>considered, two core principles will be critical for successful implementatio</w:t>
      </w:r>
      <w:r w:rsidR="00734CBB" w:rsidRPr="008A5442">
        <w:rPr>
          <w:rFonts w:ascii="Verdana" w:hAnsi="Verdana"/>
          <w:sz w:val="22"/>
          <w:szCs w:val="22"/>
        </w:rPr>
        <w:t xml:space="preserve">n that achieves the desired </w:t>
      </w:r>
      <w:r w:rsidR="00A07A00" w:rsidRPr="008A5442">
        <w:rPr>
          <w:rFonts w:ascii="Verdana" w:hAnsi="Verdana"/>
          <w:sz w:val="22"/>
          <w:szCs w:val="22"/>
        </w:rPr>
        <w:t>goal of AT transfer:</w:t>
      </w:r>
    </w:p>
    <w:p w:rsidR="0006599C" w:rsidRPr="00220536" w:rsidRDefault="002F4961" w:rsidP="005915AF">
      <w:pPr>
        <w:pStyle w:val="ListParagraph"/>
        <w:numPr>
          <w:ilvl w:val="0"/>
          <w:numId w:val="2"/>
        </w:numPr>
        <w:contextualSpacing w:val="0"/>
        <w:rPr>
          <w:rFonts w:ascii="Verdana" w:hAnsi="Verdana"/>
          <w:sz w:val="22"/>
          <w:szCs w:val="22"/>
        </w:rPr>
      </w:pPr>
      <w:r w:rsidRPr="00220536">
        <w:rPr>
          <w:rFonts w:ascii="Verdana" w:hAnsi="Verdana"/>
          <w:sz w:val="22"/>
          <w:szCs w:val="22"/>
        </w:rPr>
        <w:t>Schools need to see some readily identified benefit associated with transferring the AT.  This could be fair market reimbursement, removing items off their inventory and eliminating storage, options for obtaining different devices for reduced costs, etc.  Without a clear benefit, there is little incentive for schools to engage in transfer initiatives or commit to implementing transfer policies/procedures (e</w:t>
      </w:r>
      <w:r w:rsidR="005915AF" w:rsidRPr="00220536">
        <w:rPr>
          <w:rFonts w:ascii="Verdana" w:hAnsi="Verdana"/>
          <w:sz w:val="22"/>
          <w:szCs w:val="22"/>
        </w:rPr>
        <w:t>ven if they are mandatory).</w:t>
      </w:r>
    </w:p>
    <w:p w:rsidR="0006599C" w:rsidRPr="00220536" w:rsidRDefault="002F4961" w:rsidP="0006599C">
      <w:pPr>
        <w:pStyle w:val="ListParagraph"/>
        <w:numPr>
          <w:ilvl w:val="0"/>
          <w:numId w:val="2"/>
        </w:numPr>
        <w:contextualSpacing w:val="0"/>
        <w:rPr>
          <w:rFonts w:ascii="Verdana" w:hAnsi="Verdana"/>
          <w:b/>
          <w:sz w:val="22"/>
          <w:szCs w:val="22"/>
        </w:rPr>
      </w:pPr>
      <w:r w:rsidRPr="00220536">
        <w:rPr>
          <w:rFonts w:ascii="Verdana" w:hAnsi="Verdana"/>
          <w:sz w:val="22"/>
          <w:szCs w:val="22"/>
        </w:rPr>
        <w:t>The administrative requirements associated with AT transfer must be minimal.  The process and procedures should require few school resources and should be as simple as possible to implement.  If schools perceive an administrative burden, their participation and engagement level will drop significantly.</w:t>
      </w:r>
    </w:p>
    <w:p w:rsidR="0006599C" w:rsidRPr="008A5442" w:rsidRDefault="0006599C" w:rsidP="0006599C">
      <w:pPr>
        <w:rPr>
          <w:rFonts w:ascii="Verdana" w:hAnsi="Verdana"/>
          <w:b/>
        </w:rPr>
      </w:pPr>
    </w:p>
    <w:p w:rsidR="000728F8" w:rsidRPr="008A5442" w:rsidRDefault="000728F8" w:rsidP="00264679">
      <w:pPr>
        <w:pStyle w:val="Heading2"/>
        <w:rPr>
          <w:rFonts w:ascii="Verdana" w:hAnsi="Verdana"/>
          <w:b/>
          <w:sz w:val="24"/>
          <w:szCs w:val="24"/>
        </w:rPr>
      </w:pPr>
      <w:r w:rsidRPr="008A5442">
        <w:rPr>
          <w:rFonts w:ascii="Verdana" w:hAnsi="Verdana"/>
          <w:b/>
          <w:color w:val="auto"/>
          <w:sz w:val="24"/>
          <w:szCs w:val="24"/>
        </w:rPr>
        <w:t>RESOURCES</w:t>
      </w:r>
    </w:p>
    <w:p w:rsidR="00A07A00" w:rsidRPr="008A5442" w:rsidRDefault="00A07A00" w:rsidP="00833D77">
      <w:pPr>
        <w:rPr>
          <w:rFonts w:ascii="Verdana" w:hAnsi="Verdana"/>
          <w:sz w:val="22"/>
          <w:szCs w:val="22"/>
        </w:rPr>
      </w:pPr>
    </w:p>
    <w:p w:rsidR="00A07A00" w:rsidRPr="00220536" w:rsidRDefault="00A07A00" w:rsidP="00833D77">
      <w:pPr>
        <w:rPr>
          <w:rFonts w:ascii="Verdana" w:hAnsi="Verdana"/>
          <w:i/>
          <w:sz w:val="22"/>
          <w:szCs w:val="22"/>
        </w:rPr>
      </w:pPr>
      <w:r w:rsidRPr="00220536">
        <w:rPr>
          <w:rFonts w:ascii="Verdana" w:hAnsi="Verdana"/>
          <w:i/>
          <w:sz w:val="22"/>
          <w:szCs w:val="22"/>
        </w:rPr>
        <w:t>Disclaimer:  Many of these resources do not exist in accessible format, but are included below for their value as references/exemplars.</w:t>
      </w:r>
    </w:p>
    <w:p w:rsidR="00EB08DD" w:rsidRPr="00220536" w:rsidRDefault="00EB08DD" w:rsidP="00833D77">
      <w:pPr>
        <w:rPr>
          <w:rFonts w:ascii="Verdana" w:hAnsi="Verdana"/>
          <w:sz w:val="22"/>
          <w:szCs w:val="22"/>
        </w:rPr>
      </w:pPr>
    </w:p>
    <w:p w:rsidR="00EB08DD" w:rsidRPr="00220536" w:rsidRDefault="007636DE" w:rsidP="00833D77">
      <w:pPr>
        <w:rPr>
          <w:rFonts w:ascii="Verdana" w:hAnsi="Verdana"/>
          <w:sz w:val="22"/>
          <w:szCs w:val="22"/>
        </w:rPr>
      </w:pPr>
      <w:hyperlink r:id="rId8" w:history="1">
        <w:r w:rsidR="00EB08DD" w:rsidRPr="00220536">
          <w:rPr>
            <w:rStyle w:val="Hyperlink"/>
            <w:rFonts w:ascii="Verdana" w:hAnsi="Verdana"/>
            <w:sz w:val="22"/>
            <w:szCs w:val="22"/>
          </w:rPr>
          <w:t xml:space="preserve">EDGAR: </w:t>
        </w:r>
        <w:r w:rsidR="00F32A82" w:rsidRPr="00220536">
          <w:rPr>
            <w:rStyle w:val="Hyperlink"/>
            <w:rFonts w:ascii="Verdana" w:hAnsi="Verdana"/>
            <w:sz w:val="22"/>
            <w:szCs w:val="22"/>
          </w:rPr>
          <w:t>Code of Federal Regulations Title 34 §80.32</w:t>
        </w:r>
      </w:hyperlink>
      <w:r w:rsidR="00EB08DD" w:rsidRPr="00220536">
        <w:rPr>
          <w:rFonts w:ascii="Verdana" w:hAnsi="Verdana"/>
          <w:sz w:val="22"/>
          <w:szCs w:val="22"/>
        </w:rPr>
        <w:t xml:space="preserve"> </w:t>
      </w:r>
    </w:p>
    <w:p w:rsidR="008B54CF" w:rsidRPr="00220536" w:rsidRDefault="008B54CF" w:rsidP="00833D77">
      <w:pPr>
        <w:rPr>
          <w:rFonts w:ascii="Verdana" w:hAnsi="Verdana"/>
          <w:sz w:val="22"/>
          <w:szCs w:val="22"/>
        </w:rPr>
      </w:pPr>
      <w:r w:rsidRPr="00220536">
        <w:rPr>
          <w:rFonts w:ascii="Verdana" w:hAnsi="Verdana"/>
          <w:sz w:val="22"/>
          <w:szCs w:val="22"/>
        </w:rPr>
        <w:t>https://www.gpo.gov/fdsys/pkg/CFR-2000-title34-vol1/xml/CFR-2000-title34-vol1-sec80-32.xml</w:t>
      </w:r>
    </w:p>
    <w:p w:rsidR="00EB08DD" w:rsidRPr="00220536" w:rsidRDefault="00EB08DD" w:rsidP="00833D77">
      <w:pPr>
        <w:rPr>
          <w:rFonts w:ascii="Verdana" w:hAnsi="Verdana"/>
          <w:sz w:val="22"/>
          <w:szCs w:val="22"/>
        </w:rPr>
      </w:pPr>
    </w:p>
    <w:p w:rsidR="004A44DE" w:rsidRPr="00220536" w:rsidRDefault="00EB08DD" w:rsidP="00833D77">
      <w:pPr>
        <w:rPr>
          <w:rFonts w:ascii="Verdana" w:hAnsi="Verdana"/>
          <w:sz w:val="22"/>
          <w:szCs w:val="22"/>
        </w:rPr>
      </w:pPr>
      <w:r w:rsidRPr="00220536">
        <w:rPr>
          <w:rFonts w:ascii="Verdana" w:hAnsi="Verdana" w:cstheme="minorHAnsi"/>
          <w:sz w:val="22"/>
          <w:szCs w:val="22"/>
        </w:rPr>
        <w:t>OSEP letter:</w:t>
      </w:r>
      <w:r w:rsidRPr="00220536">
        <w:rPr>
          <w:rFonts w:ascii="Verdana" w:hAnsi="Verdana"/>
          <w:sz w:val="22"/>
          <w:szCs w:val="22"/>
        </w:rPr>
        <w:t xml:space="preserve"> </w:t>
      </w:r>
      <w:hyperlink r:id="rId9" w:history="1">
        <w:r w:rsidR="004A44DE" w:rsidRPr="00220536">
          <w:rPr>
            <w:rStyle w:val="Hyperlink"/>
            <w:rFonts w:ascii="Verdana" w:hAnsi="Verdana"/>
            <w:sz w:val="22"/>
            <w:szCs w:val="22"/>
          </w:rPr>
          <w:t>Clarification on use of assistive technology devices purchased with federal funds</w:t>
        </w:r>
      </w:hyperlink>
    </w:p>
    <w:p w:rsidR="008B54CF" w:rsidRPr="00220536" w:rsidRDefault="008B54CF" w:rsidP="00833D77">
      <w:pPr>
        <w:rPr>
          <w:rFonts w:ascii="Verdana" w:hAnsi="Verdana"/>
          <w:sz w:val="22"/>
          <w:szCs w:val="22"/>
        </w:rPr>
      </w:pPr>
      <w:r w:rsidRPr="00220536">
        <w:rPr>
          <w:rFonts w:ascii="Verdana" w:hAnsi="Verdana"/>
          <w:sz w:val="22"/>
          <w:szCs w:val="22"/>
        </w:rPr>
        <w:t>http://fw.esc18.net/FrameworkAuthoringSystem/Documents/AdditionalResources/OSEP%20Letter%20to%20Goodman%206.21.1998.pdf</w:t>
      </w:r>
    </w:p>
    <w:p w:rsidR="00B72B02" w:rsidRPr="00220536" w:rsidRDefault="00B72B02" w:rsidP="00833D77">
      <w:pPr>
        <w:rPr>
          <w:rFonts w:ascii="Verdana" w:hAnsi="Verdana"/>
          <w:sz w:val="22"/>
          <w:szCs w:val="22"/>
        </w:rPr>
      </w:pPr>
    </w:p>
    <w:p w:rsidR="00DB25BA" w:rsidRPr="00220536" w:rsidRDefault="003C306A" w:rsidP="00833D77">
      <w:pPr>
        <w:rPr>
          <w:rFonts w:ascii="Verdana" w:hAnsi="Verdana" w:cstheme="minorHAnsi"/>
          <w:sz w:val="22"/>
          <w:szCs w:val="22"/>
          <w:shd w:val="clear" w:color="auto" w:fill="FFFFFF"/>
        </w:rPr>
      </w:pPr>
      <w:r w:rsidRPr="00220536">
        <w:rPr>
          <w:rFonts w:ascii="Verdana" w:hAnsi="Verdana" w:cstheme="minorHAnsi"/>
          <w:sz w:val="22"/>
          <w:szCs w:val="22"/>
          <w:shd w:val="clear" w:color="auto" w:fill="FFFFFF"/>
        </w:rPr>
        <w:t xml:space="preserve">COLORADO:  </w:t>
      </w:r>
      <w:hyperlink r:id="rId10" w:history="1">
        <w:r w:rsidR="00DB25BA" w:rsidRPr="00220536">
          <w:rPr>
            <w:rStyle w:val="Hyperlink"/>
            <w:rFonts w:ascii="Verdana" w:hAnsi="Verdana" w:cstheme="minorHAnsi"/>
            <w:sz w:val="22"/>
            <w:szCs w:val="22"/>
            <w:shd w:val="clear" w:color="auto" w:fill="FFFFFF"/>
          </w:rPr>
          <w:t>Clarification of DVR/CDE cooperative agreement regarding AT</w:t>
        </w:r>
      </w:hyperlink>
    </w:p>
    <w:p w:rsidR="00DB25BA" w:rsidRPr="00220536" w:rsidRDefault="003C306A" w:rsidP="00833D77">
      <w:pPr>
        <w:rPr>
          <w:rFonts w:ascii="Verdana" w:hAnsi="Verdana" w:cstheme="minorHAnsi"/>
          <w:sz w:val="22"/>
          <w:szCs w:val="22"/>
          <w:shd w:val="clear" w:color="auto" w:fill="FFFFFF"/>
        </w:rPr>
      </w:pPr>
      <w:r w:rsidRPr="00220536">
        <w:rPr>
          <w:rFonts w:ascii="Verdana" w:hAnsi="Verdana" w:cstheme="minorHAnsi"/>
          <w:sz w:val="22"/>
          <w:szCs w:val="22"/>
          <w:shd w:val="clear" w:color="auto" w:fill="FFFFFF"/>
        </w:rPr>
        <w:t>hermes.cde.state.co.us/drupal/.../CDE_DVR_cooperative_services_agreement.pdf</w:t>
      </w:r>
      <w:r w:rsidR="003822F0" w:rsidRPr="00220536">
        <w:rPr>
          <w:rFonts w:ascii="Verdana" w:hAnsi="Verdana" w:cstheme="minorHAnsi"/>
          <w:sz w:val="22"/>
          <w:szCs w:val="22"/>
          <w:shd w:val="clear" w:color="auto" w:fill="FFFFFF"/>
        </w:rPr>
        <w:t xml:space="preserve"> </w:t>
      </w:r>
      <w:r w:rsidR="00383B76" w:rsidRPr="00220536">
        <w:rPr>
          <w:rFonts w:ascii="Verdana" w:hAnsi="Verdana" w:cstheme="minorHAnsi"/>
          <w:sz w:val="22"/>
          <w:szCs w:val="22"/>
          <w:shd w:val="clear" w:color="auto" w:fill="FFFFFF"/>
        </w:rPr>
        <w:t>(Section G, pages 9-11)</w:t>
      </w:r>
      <w:r w:rsidR="00385051" w:rsidRPr="00220536">
        <w:rPr>
          <w:rFonts w:ascii="Verdana" w:hAnsi="Verdana" w:cstheme="minorHAnsi"/>
          <w:sz w:val="22"/>
          <w:szCs w:val="22"/>
          <w:shd w:val="clear" w:color="auto" w:fill="FFFFFF"/>
        </w:rPr>
        <w:t xml:space="preserve">; https://static1.squarespace.com/static/57c86c3cff7c506bc7a8fdbf/t/599f3afdf5e231b03da72246/1503607549321/DVR+CDE+Agreement+2015.pdf </w:t>
      </w:r>
    </w:p>
    <w:p w:rsidR="00DB25BA" w:rsidRPr="00220536" w:rsidRDefault="00DB25BA" w:rsidP="00833D77">
      <w:pPr>
        <w:rPr>
          <w:rFonts w:ascii="Verdana" w:hAnsi="Verdana" w:cstheme="minorHAnsi"/>
          <w:sz w:val="22"/>
          <w:szCs w:val="22"/>
          <w:shd w:val="clear" w:color="auto" w:fill="FFFFFF"/>
        </w:rPr>
      </w:pPr>
    </w:p>
    <w:p w:rsidR="00DB25BA" w:rsidRPr="00220536" w:rsidRDefault="003C306A" w:rsidP="00833D77">
      <w:pPr>
        <w:rPr>
          <w:rFonts w:ascii="Verdana" w:hAnsi="Verdana"/>
          <w:sz w:val="22"/>
          <w:szCs w:val="22"/>
        </w:rPr>
      </w:pPr>
      <w:r w:rsidRPr="00220536">
        <w:rPr>
          <w:rFonts w:ascii="Verdana" w:hAnsi="Verdana"/>
          <w:sz w:val="22"/>
          <w:szCs w:val="22"/>
        </w:rPr>
        <w:t xml:space="preserve">MINNESOTA:  </w:t>
      </w:r>
    </w:p>
    <w:p w:rsidR="00B72B02" w:rsidRPr="00220536" w:rsidRDefault="007636DE" w:rsidP="00833D77">
      <w:pPr>
        <w:rPr>
          <w:rFonts w:ascii="Verdana" w:hAnsi="Verdana"/>
          <w:sz w:val="22"/>
          <w:szCs w:val="22"/>
        </w:rPr>
      </w:pPr>
      <w:hyperlink r:id="rId11" w:history="1">
        <w:r w:rsidR="00B72B02" w:rsidRPr="00220536">
          <w:rPr>
            <w:rStyle w:val="Hyperlink"/>
            <w:rFonts w:ascii="Verdana" w:hAnsi="Verdana"/>
            <w:sz w:val="22"/>
            <w:szCs w:val="22"/>
          </w:rPr>
          <w:t xml:space="preserve">125A.58 </w:t>
        </w:r>
        <w:r w:rsidR="00B72B02" w:rsidRPr="00220536">
          <w:rPr>
            <w:rStyle w:val="Hyperlink"/>
            <w:rFonts w:ascii="Verdana" w:hAnsi="Verdana" w:cstheme="minorHAnsi"/>
            <w:bCs/>
            <w:kern w:val="36"/>
            <w:sz w:val="22"/>
            <w:szCs w:val="22"/>
            <w:lang w:val="en"/>
          </w:rPr>
          <w:t>P</w:t>
        </w:r>
        <w:r w:rsidR="002C7D2D" w:rsidRPr="00220536">
          <w:rPr>
            <w:rStyle w:val="Hyperlink"/>
            <w:rFonts w:ascii="Verdana" w:hAnsi="Verdana" w:cstheme="minorHAnsi"/>
            <w:bCs/>
            <w:kern w:val="36"/>
            <w:sz w:val="22"/>
            <w:szCs w:val="22"/>
            <w:lang w:val="en"/>
          </w:rPr>
          <w:t>urchasing</w:t>
        </w:r>
        <w:r w:rsidR="00B72B02" w:rsidRPr="00220536">
          <w:rPr>
            <w:rStyle w:val="Hyperlink"/>
            <w:rFonts w:ascii="Verdana" w:hAnsi="Verdana" w:cstheme="minorHAnsi"/>
            <w:bCs/>
            <w:kern w:val="36"/>
            <w:sz w:val="22"/>
            <w:szCs w:val="22"/>
            <w:lang w:val="en"/>
          </w:rPr>
          <w:t xml:space="preserve"> G</w:t>
        </w:r>
        <w:r w:rsidR="002C7D2D" w:rsidRPr="00220536">
          <w:rPr>
            <w:rStyle w:val="Hyperlink"/>
            <w:rFonts w:ascii="Verdana" w:hAnsi="Verdana" w:cstheme="minorHAnsi"/>
            <w:bCs/>
            <w:kern w:val="36"/>
            <w:sz w:val="22"/>
            <w:szCs w:val="22"/>
            <w:lang w:val="en"/>
          </w:rPr>
          <w:t>uidelines</w:t>
        </w:r>
      </w:hyperlink>
      <w:r w:rsidR="00220536">
        <w:rPr>
          <w:rFonts w:ascii="Verdana" w:hAnsi="Verdana"/>
          <w:sz w:val="22"/>
          <w:szCs w:val="22"/>
        </w:rPr>
        <w:t xml:space="preserve"> (Note: between districts)</w:t>
      </w:r>
    </w:p>
    <w:p w:rsidR="008B54CF" w:rsidRPr="00220536" w:rsidRDefault="008B54CF" w:rsidP="008B54CF">
      <w:pPr>
        <w:rPr>
          <w:rFonts w:ascii="Verdana" w:hAnsi="Verdana" w:cstheme="minorHAnsi"/>
          <w:bCs/>
          <w:kern w:val="36"/>
          <w:sz w:val="22"/>
          <w:szCs w:val="22"/>
          <w:lang w:val="en"/>
        </w:rPr>
      </w:pPr>
      <w:proofErr w:type="gramStart"/>
      <w:r w:rsidRPr="00220536">
        <w:rPr>
          <w:rFonts w:ascii="Verdana" w:hAnsi="Verdana" w:cstheme="minorHAnsi"/>
          <w:bCs/>
          <w:kern w:val="36"/>
          <w:sz w:val="22"/>
          <w:szCs w:val="22"/>
          <w:lang w:val="en"/>
        </w:rPr>
        <w:t>125A.58  https</w:t>
      </w:r>
      <w:proofErr w:type="gramEnd"/>
      <w:r w:rsidRPr="00220536">
        <w:rPr>
          <w:rFonts w:ascii="Verdana" w:hAnsi="Verdana" w:cstheme="minorHAnsi"/>
          <w:bCs/>
          <w:kern w:val="36"/>
          <w:sz w:val="22"/>
          <w:szCs w:val="22"/>
          <w:lang w:val="en"/>
        </w:rPr>
        <w:t>://www.revisor.mn.gov/statutes/?id=125A.58</w:t>
      </w:r>
    </w:p>
    <w:p w:rsidR="000866BA" w:rsidRPr="00220536" w:rsidRDefault="000866BA" w:rsidP="00833D77">
      <w:pPr>
        <w:rPr>
          <w:rFonts w:ascii="Verdana" w:hAnsi="Verdana"/>
          <w:sz w:val="22"/>
          <w:szCs w:val="22"/>
        </w:rPr>
      </w:pPr>
    </w:p>
    <w:p w:rsidR="00D439FA" w:rsidRPr="00220536" w:rsidRDefault="007636DE" w:rsidP="00833D77">
      <w:pPr>
        <w:rPr>
          <w:rFonts w:ascii="Verdana" w:hAnsi="Verdana" w:cstheme="minorHAnsi"/>
          <w:bCs/>
          <w:kern w:val="36"/>
          <w:sz w:val="22"/>
          <w:szCs w:val="22"/>
          <w:lang w:val="en"/>
        </w:rPr>
      </w:pPr>
      <w:hyperlink r:id="rId12" w:history="1">
        <w:r w:rsidR="00D439FA" w:rsidRPr="00220536">
          <w:rPr>
            <w:rStyle w:val="Hyperlink"/>
            <w:rFonts w:ascii="Verdana" w:hAnsi="Verdana" w:cstheme="minorHAnsi"/>
            <w:bCs/>
            <w:kern w:val="36"/>
            <w:sz w:val="22"/>
            <w:szCs w:val="22"/>
            <w:lang w:val="en"/>
          </w:rPr>
          <w:t>125A.59 I</w:t>
        </w:r>
        <w:r w:rsidR="002C7D2D" w:rsidRPr="00220536">
          <w:rPr>
            <w:rStyle w:val="Hyperlink"/>
            <w:rFonts w:ascii="Verdana" w:hAnsi="Verdana" w:cstheme="minorHAnsi"/>
            <w:bCs/>
            <w:kern w:val="36"/>
            <w:sz w:val="22"/>
            <w:szCs w:val="22"/>
            <w:lang w:val="en"/>
          </w:rPr>
          <w:t>nteragency</w:t>
        </w:r>
        <w:r w:rsidR="00D439FA" w:rsidRPr="00220536">
          <w:rPr>
            <w:rStyle w:val="Hyperlink"/>
            <w:rFonts w:ascii="Verdana" w:hAnsi="Verdana" w:cstheme="minorHAnsi"/>
            <w:bCs/>
            <w:kern w:val="36"/>
            <w:sz w:val="22"/>
            <w:szCs w:val="22"/>
            <w:lang w:val="en"/>
          </w:rPr>
          <w:t xml:space="preserve"> A</w:t>
        </w:r>
        <w:r w:rsidR="002C7D2D" w:rsidRPr="00220536">
          <w:rPr>
            <w:rStyle w:val="Hyperlink"/>
            <w:rFonts w:ascii="Verdana" w:hAnsi="Verdana" w:cstheme="minorHAnsi"/>
            <w:bCs/>
            <w:kern w:val="36"/>
            <w:sz w:val="22"/>
            <w:szCs w:val="22"/>
            <w:lang w:val="en"/>
          </w:rPr>
          <w:t>greement to Purchase Used Assistive</w:t>
        </w:r>
        <w:r w:rsidR="00D439FA" w:rsidRPr="00220536">
          <w:rPr>
            <w:rStyle w:val="Hyperlink"/>
            <w:rFonts w:ascii="Verdana" w:hAnsi="Verdana" w:cstheme="minorHAnsi"/>
            <w:bCs/>
            <w:kern w:val="36"/>
            <w:sz w:val="22"/>
            <w:szCs w:val="22"/>
            <w:lang w:val="en"/>
          </w:rPr>
          <w:t xml:space="preserve"> T</w:t>
        </w:r>
        <w:r w:rsidR="002C7D2D" w:rsidRPr="00220536">
          <w:rPr>
            <w:rStyle w:val="Hyperlink"/>
            <w:rFonts w:ascii="Verdana" w:hAnsi="Verdana" w:cstheme="minorHAnsi"/>
            <w:bCs/>
            <w:kern w:val="36"/>
            <w:sz w:val="22"/>
            <w:szCs w:val="22"/>
            <w:lang w:val="en"/>
          </w:rPr>
          <w:t>echnology Devices</w:t>
        </w:r>
      </w:hyperlink>
      <w:r w:rsidR="00D439FA" w:rsidRPr="00220536">
        <w:rPr>
          <w:rFonts w:ascii="Verdana" w:hAnsi="Verdana" w:cstheme="minorHAnsi"/>
          <w:bCs/>
          <w:kern w:val="36"/>
          <w:sz w:val="22"/>
          <w:szCs w:val="22"/>
          <w:lang w:val="en"/>
        </w:rPr>
        <w:t xml:space="preserve"> </w:t>
      </w:r>
    </w:p>
    <w:p w:rsidR="000866BA" w:rsidRPr="00220536" w:rsidRDefault="000866BA" w:rsidP="00833D77">
      <w:pPr>
        <w:rPr>
          <w:rFonts w:ascii="Verdana" w:hAnsi="Verdana" w:cstheme="minorHAnsi"/>
          <w:bCs/>
          <w:kern w:val="36"/>
          <w:sz w:val="22"/>
          <w:szCs w:val="22"/>
          <w:lang w:val="en"/>
        </w:rPr>
      </w:pPr>
      <w:proofErr w:type="gramStart"/>
      <w:r w:rsidRPr="00220536">
        <w:rPr>
          <w:rFonts w:ascii="Verdana" w:hAnsi="Verdana" w:cstheme="minorHAnsi"/>
          <w:bCs/>
          <w:kern w:val="36"/>
          <w:sz w:val="22"/>
          <w:szCs w:val="22"/>
          <w:lang w:val="en"/>
        </w:rPr>
        <w:t>125A.59  https</w:t>
      </w:r>
      <w:proofErr w:type="gramEnd"/>
      <w:r w:rsidRPr="00220536">
        <w:rPr>
          <w:rFonts w:ascii="Verdana" w:hAnsi="Verdana" w:cstheme="minorHAnsi"/>
          <w:bCs/>
          <w:kern w:val="36"/>
          <w:sz w:val="22"/>
          <w:szCs w:val="22"/>
          <w:lang w:val="en"/>
        </w:rPr>
        <w:t>://www.revisor.mn.gov/statutes/?id=125A.59</w:t>
      </w:r>
    </w:p>
    <w:p w:rsidR="00EB08DD" w:rsidRPr="00220536" w:rsidRDefault="00EB08DD" w:rsidP="00833D77">
      <w:pPr>
        <w:rPr>
          <w:rFonts w:ascii="Verdana" w:hAnsi="Verdana" w:cstheme="minorHAnsi"/>
          <w:bCs/>
          <w:kern w:val="36"/>
          <w:sz w:val="22"/>
          <w:szCs w:val="22"/>
          <w:lang w:val="en"/>
        </w:rPr>
      </w:pPr>
    </w:p>
    <w:p w:rsidR="00EC624E" w:rsidRPr="00220536" w:rsidRDefault="00EB08DD" w:rsidP="00833D77">
      <w:pPr>
        <w:rPr>
          <w:rFonts w:ascii="Verdana" w:hAnsi="Verdana" w:cstheme="minorHAnsi"/>
          <w:bCs/>
          <w:kern w:val="36"/>
          <w:sz w:val="22"/>
          <w:szCs w:val="22"/>
          <w:lang w:val="en"/>
        </w:rPr>
      </w:pPr>
      <w:r w:rsidRPr="00220536">
        <w:rPr>
          <w:rFonts w:ascii="Verdana" w:hAnsi="Verdana" w:cstheme="minorHAnsi"/>
          <w:bCs/>
          <w:kern w:val="36"/>
          <w:sz w:val="22"/>
          <w:szCs w:val="22"/>
          <w:lang w:val="en"/>
        </w:rPr>
        <w:t xml:space="preserve">OKLAHOMA: </w:t>
      </w:r>
    </w:p>
    <w:p w:rsidR="000866BA" w:rsidRPr="00220536" w:rsidRDefault="007636DE" w:rsidP="00833D77">
      <w:pPr>
        <w:rPr>
          <w:rFonts w:ascii="Verdana" w:hAnsi="Verdana" w:cstheme="minorHAnsi"/>
          <w:bCs/>
          <w:kern w:val="36"/>
          <w:sz w:val="22"/>
          <w:szCs w:val="22"/>
        </w:rPr>
      </w:pPr>
      <w:hyperlink r:id="rId13" w:history="1">
        <w:r w:rsidR="00EC624E" w:rsidRPr="00220536">
          <w:rPr>
            <w:rStyle w:val="Hyperlink"/>
            <w:rFonts w:ascii="Verdana" w:hAnsi="Verdana" w:cstheme="minorHAnsi"/>
            <w:bCs/>
            <w:kern w:val="36"/>
            <w:sz w:val="22"/>
            <w:szCs w:val="22"/>
          </w:rPr>
          <w:t xml:space="preserve">State Department of Education </w:t>
        </w:r>
        <w:proofErr w:type="spellStart"/>
        <w:r w:rsidR="00EC624E" w:rsidRPr="00220536">
          <w:rPr>
            <w:rStyle w:val="Hyperlink"/>
            <w:rFonts w:ascii="Verdana" w:hAnsi="Verdana" w:cstheme="minorHAnsi"/>
            <w:bCs/>
            <w:kern w:val="36"/>
            <w:sz w:val="22"/>
            <w:szCs w:val="22"/>
          </w:rPr>
          <w:t>PreK</w:t>
        </w:r>
        <w:proofErr w:type="spellEnd"/>
        <w:r w:rsidR="00EC624E" w:rsidRPr="00220536">
          <w:rPr>
            <w:rStyle w:val="Hyperlink"/>
            <w:rFonts w:ascii="Verdana" w:hAnsi="Verdana" w:cstheme="minorHAnsi"/>
            <w:bCs/>
            <w:kern w:val="36"/>
            <w:sz w:val="22"/>
            <w:szCs w:val="22"/>
          </w:rPr>
          <w:t xml:space="preserve"> - 12th and State Systemic Improvement Plan</w:t>
        </w:r>
      </w:hyperlink>
    </w:p>
    <w:p w:rsidR="00EC624E" w:rsidRPr="00220536" w:rsidRDefault="008B54CF" w:rsidP="00833D77">
      <w:pPr>
        <w:rPr>
          <w:rFonts w:ascii="Verdana" w:hAnsi="Verdana" w:cstheme="minorHAnsi"/>
          <w:bCs/>
          <w:kern w:val="36"/>
          <w:sz w:val="22"/>
          <w:szCs w:val="22"/>
          <w:lang w:val="en"/>
        </w:rPr>
      </w:pPr>
      <w:r w:rsidRPr="00220536">
        <w:rPr>
          <w:rFonts w:ascii="Verdana" w:hAnsi="Verdana" w:cstheme="minorHAnsi"/>
          <w:bCs/>
          <w:kern w:val="36"/>
          <w:sz w:val="22"/>
          <w:szCs w:val="22"/>
          <w:lang w:val="en"/>
        </w:rPr>
        <w:t>https://www.ok.gov/abletech/Programs_for_Children_and_Youth/OSDE_PK-12_and_SSIP/</w:t>
      </w:r>
    </w:p>
    <w:p w:rsidR="008B54CF" w:rsidRPr="00220536" w:rsidRDefault="008B54CF" w:rsidP="00833D77">
      <w:pPr>
        <w:rPr>
          <w:rFonts w:ascii="Verdana" w:hAnsi="Verdana" w:cstheme="minorHAnsi"/>
          <w:bCs/>
          <w:kern w:val="36"/>
          <w:sz w:val="22"/>
          <w:szCs w:val="22"/>
          <w:lang w:val="en"/>
        </w:rPr>
      </w:pPr>
    </w:p>
    <w:p w:rsidR="00EC624E" w:rsidRPr="00220536" w:rsidRDefault="007636DE" w:rsidP="00833D77">
      <w:pPr>
        <w:rPr>
          <w:rFonts w:ascii="Verdana" w:hAnsi="Verdana" w:cstheme="minorHAnsi"/>
          <w:bCs/>
          <w:kern w:val="36"/>
          <w:sz w:val="22"/>
          <w:szCs w:val="22"/>
          <w:lang w:val="en"/>
        </w:rPr>
      </w:pPr>
      <w:hyperlink r:id="rId14" w:history="1">
        <w:r w:rsidR="00EC624E" w:rsidRPr="00220536">
          <w:rPr>
            <w:rStyle w:val="Hyperlink"/>
            <w:rFonts w:ascii="Verdana" w:hAnsi="Verdana" w:cstheme="minorHAnsi"/>
            <w:bCs/>
            <w:kern w:val="36"/>
            <w:sz w:val="22"/>
            <w:szCs w:val="22"/>
            <w:lang w:val="en"/>
          </w:rPr>
          <w:t>Assistive Technology in Public Schools</w:t>
        </w:r>
      </w:hyperlink>
      <w:r w:rsidR="00EC624E" w:rsidRPr="00220536">
        <w:rPr>
          <w:rFonts w:ascii="Verdana" w:hAnsi="Verdana" w:cstheme="minorHAnsi"/>
          <w:bCs/>
          <w:kern w:val="36"/>
          <w:sz w:val="22"/>
          <w:szCs w:val="22"/>
          <w:lang w:val="en"/>
        </w:rPr>
        <w:t xml:space="preserve"> (see Appendix B)</w:t>
      </w:r>
    </w:p>
    <w:p w:rsidR="00F14796" w:rsidRPr="00220536" w:rsidRDefault="00F14796" w:rsidP="00833D77">
      <w:pPr>
        <w:rPr>
          <w:rFonts w:ascii="Verdana" w:hAnsi="Verdana" w:cstheme="minorHAnsi"/>
          <w:bCs/>
          <w:kern w:val="36"/>
          <w:sz w:val="22"/>
          <w:szCs w:val="22"/>
          <w:lang w:val="en"/>
        </w:rPr>
      </w:pPr>
      <w:r w:rsidRPr="00220536">
        <w:rPr>
          <w:rFonts w:ascii="Verdana" w:hAnsi="Verdana" w:cstheme="minorHAnsi"/>
          <w:bCs/>
          <w:kern w:val="36"/>
          <w:sz w:val="22"/>
          <w:szCs w:val="22"/>
          <w:lang w:val="en"/>
        </w:rPr>
        <w:t>https://www.ok.gov/abletech/documents/Assistive_Tech.pdf (see Appendix B</w:t>
      </w:r>
      <w:r w:rsidR="001B1037" w:rsidRPr="00220536">
        <w:rPr>
          <w:rFonts w:ascii="Verdana" w:hAnsi="Verdana" w:cstheme="minorHAnsi"/>
          <w:bCs/>
          <w:kern w:val="36"/>
          <w:sz w:val="22"/>
          <w:szCs w:val="22"/>
          <w:lang w:val="en"/>
        </w:rPr>
        <w:t>)</w:t>
      </w:r>
    </w:p>
    <w:p w:rsidR="00D439FA" w:rsidRPr="00220536" w:rsidRDefault="00D439FA" w:rsidP="00833D77">
      <w:pPr>
        <w:rPr>
          <w:rFonts w:ascii="Verdana" w:hAnsi="Verdana" w:cstheme="minorHAnsi"/>
          <w:sz w:val="22"/>
          <w:szCs w:val="22"/>
        </w:rPr>
      </w:pPr>
    </w:p>
    <w:p w:rsidR="00EC624E" w:rsidRPr="00220536" w:rsidRDefault="003C306A" w:rsidP="000728F8">
      <w:pPr>
        <w:autoSpaceDE w:val="0"/>
        <w:autoSpaceDN w:val="0"/>
        <w:adjustRightInd w:val="0"/>
        <w:rPr>
          <w:rFonts w:ascii="Verdana" w:eastAsiaTheme="minorHAnsi" w:hAnsi="Verdana" w:cs="Calibri Light"/>
          <w:b/>
          <w:bCs/>
          <w:sz w:val="22"/>
          <w:szCs w:val="22"/>
        </w:rPr>
      </w:pPr>
      <w:r w:rsidRPr="00220536">
        <w:rPr>
          <w:rFonts w:ascii="Verdana" w:eastAsiaTheme="minorHAnsi" w:hAnsi="Verdana" w:cs="Calibri Light"/>
          <w:bCs/>
          <w:sz w:val="22"/>
          <w:szCs w:val="22"/>
        </w:rPr>
        <w:lastRenderedPageBreak/>
        <w:t xml:space="preserve">TEXAS: </w:t>
      </w:r>
      <w:r w:rsidRPr="00220536">
        <w:rPr>
          <w:rFonts w:ascii="Verdana" w:eastAsiaTheme="minorHAnsi" w:hAnsi="Verdana" w:cs="Calibri Light"/>
          <w:b/>
          <w:bCs/>
          <w:sz w:val="22"/>
          <w:szCs w:val="22"/>
        </w:rPr>
        <w:t xml:space="preserve"> </w:t>
      </w:r>
      <w:r w:rsidR="00EC624E" w:rsidRPr="00220536">
        <w:rPr>
          <w:rFonts w:ascii="Verdana" w:eastAsiaTheme="minorHAnsi" w:hAnsi="Verdana" w:cs="Calibri Light"/>
          <w:b/>
          <w:bCs/>
          <w:sz w:val="22"/>
          <w:szCs w:val="22"/>
        </w:rPr>
        <w:t> </w:t>
      </w:r>
      <w:hyperlink r:id="rId15" w:history="1">
        <w:r w:rsidR="00EC624E" w:rsidRPr="00220536">
          <w:rPr>
            <w:rStyle w:val="Hyperlink"/>
            <w:rFonts w:ascii="Verdana" w:eastAsiaTheme="minorHAnsi" w:hAnsi="Verdana" w:cstheme="minorHAnsi"/>
            <w:bCs/>
            <w:sz w:val="22"/>
            <w:szCs w:val="22"/>
          </w:rPr>
          <w:t>SECTION 89.1056. Transfer of Assistive Technology Devices</w:t>
        </w:r>
      </w:hyperlink>
    </w:p>
    <w:p w:rsidR="008B54CF" w:rsidRPr="00220536" w:rsidRDefault="008B54CF" w:rsidP="000728F8">
      <w:pPr>
        <w:autoSpaceDE w:val="0"/>
        <w:autoSpaceDN w:val="0"/>
        <w:adjustRightInd w:val="0"/>
        <w:rPr>
          <w:rFonts w:ascii="Verdana" w:eastAsiaTheme="minorHAnsi" w:hAnsi="Verdana" w:cstheme="minorHAnsi"/>
          <w:bCs/>
          <w:sz w:val="22"/>
          <w:szCs w:val="22"/>
        </w:rPr>
      </w:pPr>
      <w:r w:rsidRPr="00220536">
        <w:rPr>
          <w:rFonts w:ascii="Verdana" w:eastAsiaTheme="minorHAnsi" w:hAnsi="Verdana" w:cstheme="minorHAnsi"/>
          <w:bCs/>
          <w:sz w:val="22"/>
          <w:szCs w:val="22"/>
        </w:rPr>
        <w:t>http://txrules.elaws.us/rule/title19_chapter89_sec.89.1056</w:t>
      </w:r>
    </w:p>
    <w:p w:rsidR="000728F8" w:rsidRPr="00220536" w:rsidRDefault="000728F8" w:rsidP="000728F8">
      <w:pPr>
        <w:autoSpaceDE w:val="0"/>
        <w:autoSpaceDN w:val="0"/>
        <w:adjustRightInd w:val="0"/>
        <w:rPr>
          <w:rFonts w:ascii="Verdana" w:eastAsiaTheme="minorHAnsi" w:hAnsi="Verdana" w:cstheme="minorHAnsi"/>
          <w:bCs/>
          <w:sz w:val="22"/>
          <w:szCs w:val="22"/>
        </w:rPr>
      </w:pPr>
      <w:r w:rsidRPr="00220536">
        <w:rPr>
          <w:rFonts w:ascii="Verdana" w:eastAsiaTheme="minorHAnsi" w:hAnsi="Verdana" w:cstheme="minorHAnsi"/>
          <w:bCs/>
          <w:sz w:val="22"/>
          <w:szCs w:val="22"/>
        </w:rPr>
        <w:t>Texas Administrative Code (last updated December 2014)</w:t>
      </w:r>
    </w:p>
    <w:p w:rsidR="000728F8" w:rsidRPr="00220536" w:rsidRDefault="000728F8" w:rsidP="000728F8">
      <w:pPr>
        <w:autoSpaceDE w:val="0"/>
        <w:autoSpaceDN w:val="0"/>
        <w:adjustRightInd w:val="0"/>
        <w:rPr>
          <w:rFonts w:ascii="Verdana" w:eastAsiaTheme="minorHAnsi" w:hAnsi="Verdana" w:cstheme="minorHAnsi"/>
          <w:bCs/>
          <w:sz w:val="22"/>
          <w:szCs w:val="22"/>
        </w:rPr>
      </w:pPr>
      <w:r w:rsidRPr="00220536">
        <w:rPr>
          <w:rFonts w:ascii="Verdana" w:eastAsiaTheme="minorHAnsi" w:hAnsi="Verdana" w:cstheme="minorHAnsi"/>
          <w:bCs/>
          <w:sz w:val="22"/>
          <w:szCs w:val="22"/>
        </w:rPr>
        <w:t>Chapter 89. Adaptations for Special Populations</w:t>
      </w:r>
    </w:p>
    <w:p w:rsidR="000728F8" w:rsidRPr="00220536" w:rsidRDefault="000728F8" w:rsidP="000728F8">
      <w:pPr>
        <w:autoSpaceDE w:val="0"/>
        <w:autoSpaceDN w:val="0"/>
        <w:adjustRightInd w:val="0"/>
        <w:rPr>
          <w:rFonts w:ascii="Verdana" w:eastAsiaTheme="minorHAnsi" w:hAnsi="Verdana" w:cstheme="minorHAnsi"/>
          <w:bCs/>
          <w:sz w:val="22"/>
          <w:szCs w:val="22"/>
        </w:rPr>
      </w:pPr>
      <w:r w:rsidRPr="00220536">
        <w:rPr>
          <w:rFonts w:ascii="Verdana" w:eastAsiaTheme="minorHAnsi" w:hAnsi="Verdana" w:cstheme="minorHAnsi"/>
          <w:bCs/>
          <w:sz w:val="22"/>
          <w:szCs w:val="22"/>
        </w:rPr>
        <w:t>Subchapter AA. Commissioner's Rules Concerning Special Education Services</w:t>
      </w:r>
    </w:p>
    <w:p w:rsidR="000728F8" w:rsidRPr="00220536" w:rsidRDefault="000728F8" w:rsidP="000728F8">
      <w:pPr>
        <w:rPr>
          <w:rFonts w:ascii="Verdana" w:eastAsiaTheme="minorHAnsi" w:hAnsi="Verdana" w:cstheme="minorHAnsi"/>
          <w:bCs/>
          <w:sz w:val="22"/>
          <w:szCs w:val="22"/>
        </w:rPr>
      </w:pPr>
      <w:r w:rsidRPr="00220536">
        <w:rPr>
          <w:rFonts w:ascii="Verdana" w:eastAsiaTheme="minorHAnsi" w:hAnsi="Verdana" w:cstheme="minorHAnsi"/>
          <w:sz w:val="22"/>
          <w:szCs w:val="22"/>
        </w:rPr>
        <w:t>§</w:t>
      </w:r>
      <w:r w:rsidRPr="00220536">
        <w:rPr>
          <w:rFonts w:ascii="Verdana" w:eastAsiaTheme="minorHAnsi" w:hAnsi="Verdana" w:cstheme="minorHAnsi"/>
          <w:bCs/>
          <w:sz w:val="22"/>
          <w:szCs w:val="22"/>
        </w:rPr>
        <w:t>89.1056. Transfer of Assistive Technology Devices</w:t>
      </w:r>
    </w:p>
    <w:p w:rsidR="00D439FA" w:rsidRPr="00220536" w:rsidRDefault="00D439FA" w:rsidP="000728F8">
      <w:pPr>
        <w:rPr>
          <w:rFonts w:ascii="Verdana" w:eastAsiaTheme="minorHAnsi" w:hAnsi="Verdana" w:cs="Calibri Light"/>
          <w:bCs/>
          <w:sz w:val="22"/>
          <w:szCs w:val="22"/>
        </w:rPr>
      </w:pPr>
    </w:p>
    <w:p w:rsidR="0064742D" w:rsidRPr="00220536" w:rsidRDefault="003C306A" w:rsidP="000728F8">
      <w:pPr>
        <w:rPr>
          <w:rFonts w:ascii="Verdana" w:hAnsi="Verdana" w:cstheme="minorHAnsi"/>
          <w:sz w:val="22"/>
          <w:szCs w:val="22"/>
        </w:rPr>
      </w:pPr>
      <w:r w:rsidRPr="00220536">
        <w:rPr>
          <w:rFonts w:ascii="Verdana" w:hAnsi="Verdana" w:cstheme="minorHAnsi"/>
          <w:sz w:val="22"/>
          <w:szCs w:val="22"/>
        </w:rPr>
        <w:t>VIRGINIA:</w:t>
      </w:r>
    </w:p>
    <w:p w:rsidR="0064742D" w:rsidRPr="00220536" w:rsidRDefault="007636DE" w:rsidP="0064742D">
      <w:pPr>
        <w:rPr>
          <w:rFonts w:ascii="Verdana" w:hAnsi="Verdana" w:cstheme="minorHAnsi"/>
          <w:bCs/>
          <w:sz w:val="22"/>
          <w:szCs w:val="22"/>
        </w:rPr>
      </w:pPr>
      <w:hyperlink r:id="rId16" w:history="1">
        <w:r w:rsidR="0064742D" w:rsidRPr="00220536">
          <w:rPr>
            <w:rStyle w:val="Hyperlink"/>
            <w:rFonts w:ascii="Verdana" w:hAnsi="Verdana" w:cstheme="minorHAnsi"/>
            <w:bCs/>
            <w:sz w:val="22"/>
            <w:szCs w:val="22"/>
          </w:rPr>
          <w:t>Transfer of Assistive Technology Devices Guidelines</w:t>
        </w:r>
      </w:hyperlink>
    </w:p>
    <w:p w:rsidR="0064742D" w:rsidRPr="00220536" w:rsidRDefault="008B54CF" w:rsidP="000728F8">
      <w:pPr>
        <w:rPr>
          <w:rFonts w:ascii="Verdana" w:hAnsi="Verdana" w:cstheme="minorHAnsi"/>
          <w:sz w:val="22"/>
          <w:szCs w:val="22"/>
        </w:rPr>
      </w:pPr>
      <w:r w:rsidRPr="00220536">
        <w:rPr>
          <w:rFonts w:ascii="Verdana" w:hAnsi="Verdana" w:cs="Calibri"/>
          <w:sz w:val="22"/>
          <w:szCs w:val="22"/>
        </w:rPr>
        <w:t>http://www.doe.virginia.gov/administrators/superintendents_memos/2013/239-13.shtml</w:t>
      </w:r>
    </w:p>
    <w:p w:rsidR="008B54CF" w:rsidRPr="00220536" w:rsidRDefault="008B54CF" w:rsidP="000728F8">
      <w:pPr>
        <w:rPr>
          <w:rFonts w:ascii="Verdana" w:hAnsi="Verdana" w:cstheme="minorHAnsi"/>
          <w:sz w:val="22"/>
          <w:szCs w:val="22"/>
        </w:rPr>
      </w:pPr>
    </w:p>
    <w:p w:rsidR="002C7D2D" w:rsidRPr="00220536" w:rsidRDefault="007636DE" w:rsidP="000728F8">
      <w:pPr>
        <w:rPr>
          <w:rFonts w:ascii="Verdana" w:hAnsi="Verdana" w:cstheme="minorHAnsi"/>
          <w:sz w:val="22"/>
          <w:szCs w:val="22"/>
        </w:rPr>
      </w:pPr>
      <w:hyperlink r:id="rId17" w:history="1">
        <w:r w:rsidR="0064742D" w:rsidRPr="00220536">
          <w:rPr>
            <w:rStyle w:val="Hyperlink"/>
            <w:rFonts w:ascii="Verdana" w:hAnsi="Verdana" w:cstheme="minorHAnsi"/>
            <w:sz w:val="22"/>
            <w:szCs w:val="22"/>
          </w:rPr>
          <w:t>G</w:t>
        </w:r>
        <w:r w:rsidR="002C7D2D" w:rsidRPr="00220536">
          <w:rPr>
            <w:rStyle w:val="Hyperlink"/>
            <w:rFonts w:ascii="Verdana" w:hAnsi="Verdana" w:cstheme="minorHAnsi"/>
            <w:sz w:val="22"/>
            <w:szCs w:val="22"/>
          </w:rPr>
          <w:t xml:space="preserve">uidelines for School Division </w:t>
        </w:r>
        <w:r w:rsidR="0064742D" w:rsidRPr="00220536">
          <w:rPr>
            <w:rStyle w:val="Hyperlink"/>
            <w:rFonts w:ascii="Verdana" w:hAnsi="Verdana" w:cstheme="minorHAnsi"/>
            <w:sz w:val="22"/>
            <w:szCs w:val="22"/>
          </w:rPr>
          <w:t>T</w:t>
        </w:r>
        <w:r w:rsidR="002C7D2D" w:rsidRPr="00220536">
          <w:rPr>
            <w:rStyle w:val="Hyperlink"/>
            <w:rFonts w:ascii="Verdana" w:hAnsi="Verdana" w:cstheme="minorHAnsi"/>
            <w:sz w:val="22"/>
            <w:szCs w:val="22"/>
          </w:rPr>
          <w:t>ransfer of</w:t>
        </w:r>
        <w:r w:rsidR="0064742D" w:rsidRPr="00220536">
          <w:rPr>
            <w:rStyle w:val="Hyperlink"/>
            <w:rFonts w:ascii="Verdana" w:hAnsi="Verdana" w:cstheme="minorHAnsi"/>
            <w:sz w:val="22"/>
            <w:szCs w:val="22"/>
          </w:rPr>
          <w:t xml:space="preserve"> A</w:t>
        </w:r>
        <w:r w:rsidR="002C7D2D" w:rsidRPr="00220536">
          <w:rPr>
            <w:rStyle w:val="Hyperlink"/>
            <w:rFonts w:ascii="Verdana" w:hAnsi="Verdana" w:cstheme="minorHAnsi"/>
            <w:sz w:val="22"/>
            <w:szCs w:val="22"/>
          </w:rPr>
          <w:t>ssistive Technology Devices</w:t>
        </w:r>
      </w:hyperlink>
    </w:p>
    <w:p w:rsidR="0064742D" w:rsidRPr="00220536" w:rsidRDefault="0064742D" w:rsidP="000728F8">
      <w:pPr>
        <w:rPr>
          <w:rFonts w:ascii="Verdana" w:hAnsi="Verdana" w:cstheme="minorHAnsi"/>
          <w:sz w:val="22"/>
          <w:szCs w:val="22"/>
        </w:rPr>
      </w:pPr>
      <w:r w:rsidRPr="00220536">
        <w:rPr>
          <w:rFonts w:ascii="Verdana" w:hAnsi="Verdana" w:cstheme="minorHAnsi"/>
          <w:sz w:val="22"/>
          <w:szCs w:val="22"/>
        </w:rPr>
        <w:t xml:space="preserve">Virginia Code § 22.1-129.1. </w:t>
      </w:r>
    </w:p>
    <w:p w:rsidR="00D439FA" w:rsidRPr="00220536" w:rsidRDefault="00D439FA" w:rsidP="000728F8">
      <w:pPr>
        <w:rPr>
          <w:rFonts w:ascii="Verdana" w:hAnsi="Verdana" w:cs="Calibri"/>
          <w:sz w:val="22"/>
          <w:szCs w:val="22"/>
        </w:rPr>
      </w:pPr>
      <w:r w:rsidRPr="00220536">
        <w:rPr>
          <w:rFonts w:ascii="Verdana" w:hAnsi="Verdana" w:cs="Calibri"/>
          <w:sz w:val="22"/>
          <w:szCs w:val="22"/>
        </w:rPr>
        <w:t>http://www.doe.virginia.gov/administrators/superintendents_memos/2013/239-13a.pdf</w:t>
      </w:r>
    </w:p>
    <w:p w:rsidR="0006599C" w:rsidRPr="008A5442" w:rsidRDefault="0006599C" w:rsidP="00833D77">
      <w:pPr>
        <w:rPr>
          <w:rFonts w:ascii="Verdana" w:hAnsi="Verdana" w:cstheme="minorHAnsi"/>
          <w:sz w:val="23"/>
          <w:szCs w:val="23"/>
        </w:rPr>
      </w:pPr>
    </w:p>
    <w:p w:rsidR="0006599C" w:rsidRPr="008A5442" w:rsidRDefault="0006599C" w:rsidP="00833D77">
      <w:pPr>
        <w:rPr>
          <w:rFonts w:ascii="Verdana" w:hAnsi="Verdana"/>
          <w:sz w:val="22"/>
          <w:szCs w:val="22"/>
        </w:rPr>
      </w:pPr>
    </w:p>
    <w:p w:rsidR="005915AF" w:rsidRPr="008A5442" w:rsidRDefault="005915AF" w:rsidP="005915AF">
      <w:pPr>
        <w:rPr>
          <w:rStyle w:val="A16"/>
          <w:rFonts w:ascii="Verdana" w:hAnsi="Verdana"/>
          <w:i/>
          <w:sz w:val="16"/>
          <w:szCs w:val="16"/>
        </w:rPr>
      </w:pPr>
      <w:r w:rsidRPr="008A5442">
        <w:rPr>
          <w:rStyle w:val="A16"/>
          <w:rFonts w:ascii="Verdana" w:hAnsi="Verdana"/>
          <w:i/>
          <w:sz w:val="16"/>
          <w:szCs w:val="16"/>
        </w:rPr>
        <w:t xml:space="preserve">This document is part of a series of </w:t>
      </w:r>
      <w:r w:rsidR="0019182A">
        <w:rPr>
          <w:rStyle w:val="A16"/>
          <w:rFonts w:ascii="Verdana" w:hAnsi="Verdana"/>
          <w:i/>
          <w:sz w:val="16"/>
          <w:szCs w:val="16"/>
        </w:rPr>
        <w:t>issue brief</w:t>
      </w:r>
      <w:r w:rsidRPr="008A5442">
        <w:rPr>
          <w:rStyle w:val="A16"/>
          <w:rFonts w:ascii="Verdana" w:hAnsi="Verdana"/>
          <w:i/>
          <w:sz w:val="16"/>
          <w:szCs w:val="16"/>
        </w:rPr>
        <w:t xml:space="preserve"> documents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 </w:t>
      </w:r>
    </w:p>
    <w:p w:rsidR="005915AF" w:rsidRPr="008A5442" w:rsidRDefault="005915AF" w:rsidP="005915AF">
      <w:pPr>
        <w:rPr>
          <w:rStyle w:val="A16"/>
          <w:rFonts w:ascii="Verdana" w:hAnsi="Verdana"/>
          <w:i/>
          <w:sz w:val="16"/>
          <w:szCs w:val="16"/>
        </w:rPr>
      </w:pPr>
    </w:p>
    <w:p w:rsidR="005915AF" w:rsidRPr="008A5442" w:rsidRDefault="005915AF" w:rsidP="005915AF">
      <w:pPr>
        <w:jc w:val="right"/>
        <w:rPr>
          <w:rFonts w:ascii="Verdana" w:hAnsi="Verdana"/>
          <w:i/>
          <w:color w:val="0000FF" w:themeColor="hyperlink"/>
          <w:sz w:val="16"/>
          <w:szCs w:val="16"/>
          <w:u w:val="single"/>
        </w:rPr>
      </w:pPr>
      <w:r w:rsidRPr="008A5442">
        <w:rPr>
          <w:rFonts w:ascii="Verdana" w:hAnsi="Verdana"/>
          <w:i/>
          <w:sz w:val="16"/>
          <w:szCs w:val="16"/>
        </w:rPr>
        <w:t xml:space="preserve">Last updated </w:t>
      </w:r>
      <w:r w:rsidR="000469AB" w:rsidRPr="008A5442">
        <w:rPr>
          <w:rFonts w:ascii="Verdana" w:hAnsi="Verdana"/>
          <w:i/>
          <w:sz w:val="16"/>
          <w:szCs w:val="16"/>
        </w:rPr>
        <w:t>November 2017</w:t>
      </w:r>
      <w:r w:rsidRPr="008A5442">
        <w:rPr>
          <w:rFonts w:ascii="Verdana" w:hAnsi="Verdana"/>
          <w:i/>
          <w:sz w:val="16"/>
          <w:szCs w:val="16"/>
        </w:rPr>
        <w:t xml:space="preserve"> – </w:t>
      </w:r>
      <w:hyperlink r:id="rId18" w:history="1">
        <w:r w:rsidRPr="008A5442">
          <w:rPr>
            <w:rStyle w:val="Hyperlink"/>
            <w:rFonts w:ascii="Verdana" w:hAnsi="Verdana"/>
            <w:i/>
            <w:sz w:val="16"/>
            <w:szCs w:val="16"/>
          </w:rPr>
          <w:t>www.at3center.net</w:t>
        </w:r>
      </w:hyperlink>
      <w:r w:rsidRPr="008A5442">
        <w:rPr>
          <w:rStyle w:val="Hyperlink"/>
          <w:rFonts w:ascii="Verdana" w:hAnsi="Verdana"/>
          <w:i/>
          <w:sz w:val="16"/>
          <w:szCs w:val="16"/>
        </w:rPr>
        <w:t xml:space="preserve"> </w:t>
      </w:r>
    </w:p>
    <w:p w:rsidR="005915AF" w:rsidRPr="008A5442" w:rsidRDefault="005915AF" w:rsidP="00833D77">
      <w:pPr>
        <w:rPr>
          <w:rFonts w:ascii="Verdana" w:hAnsi="Verdana"/>
          <w:sz w:val="22"/>
          <w:szCs w:val="22"/>
        </w:rPr>
      </w:pPr>
    </w:p>
    <w:sectPr w:rsidR="005915AF" w:rsidRPr="008A5442" w:rsidSect="00086CAD">
      <w:headerReference w:type="even" r:id="rId19"/>
      <w:headerReference w:type="default" r:id="rId20"/>
      <w:footerReference w:type="even" r:id="rId21"/>
      <w:footerReference w:type="default" r:id="rId22"/>
      <w:headerReference w:type="first" r:id="rId23"/>
      <w:footerReference w:type="first" r:id="rId24"/>
      <w:pgSz w:w="12240" w:h="15840"/>
      <w:pgMar w:top="1296"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DE" w:rsidRDefault="007636DE" w:rsidP="0048483C">
      <w:r>
        <w:separator/>
      </w:r>
    </w:p>
  </w:endnote>
  <w:endnote w:type="continuationSeparator" w:id="0">
    <w:p w:rsidR="007636DE" w:rsidRDefault="007636DE" w:rsidP="0048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79" w:rsidRDefault="00264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68641"/>
      <w:docPartObj>
        <w:docPartGallery w:val="Page Numbers (Bottom of Page)"/>
        <w:docPartUnique/>
      </w:docPartObj>
    </w:sdtPr>
    <w:sdtEndPr>
      <w:rPr>
        <w:noProof/>
      </w:rPr>
    </w:sdtEndPr>
    <w:sdtContent>
      <w:p w:rsidR="00A63A51" w:rsidRDefault="00A63A51">
        <w:pPr>
          <w:pStyle w:val="Footer"/>
          <w:jc w:val="center"/>
        </w:pPr>
        <w:r>
          <w:fldChar w:fldCharType="begin"/>
        </w:r>
        <w:r>
          <w:instrText xml:space="preserve"> PAGE   \* MERGEFORMAT </w:instrText>
        </w:r>
        <w:r>
          <w:fldChar w:fldCharType="separate"/>
        </w:r>
        <w:r w:rsidR="008A39A2">
          <w:rPr>
            <w:noProof/>
          </w:rPr>
          <w:t>5</w:t>
        </w:r>
        <w:r>
          <w:rPr>
            <w:noProof/>
          </w:rPr>
          <w:fldChar w:fldCharType="end"/>
        </w:r>
      </w:p>
    </w:sdtContent>
  </w:sdt>
  <w:p w:rsidR="00A63A51" w:rsidRDefault="00A6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79" w:rsidRDefault="0026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DE" w:rsidRDefault="007636DE" w:rsidP="0048483C">
      <w:r>
        <w:separator/>
      </w:r>
    </w:p>
  </w:footnote>
  <w:footnote w:type="continuationSeparator" w:id="0">
    <w:p w:rsidR="007636DE" w:rsidRDefault="007636DE" w:rsidP="0048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79" w:rsidRDefault="00264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79" w:rsidRDefault="00264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79" w:rsidRDefault="00264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2619"/>
    <w:multiLevelType w:val="hybridMultilevel"/>
    <w:tmpl w:val="791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20C3E"/>
    <w:multiLevelType w:val="multilevel"/>
    <w:tmpl w:val="AFF613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F4002"/>
    <w:multiLevelType w:val="hybridMultilevel"/>
    <w:tmpl w:val="CAE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6D"/>
    <w:rsid w:val="0000076B"/>
    <w:rsid w:val="00013358"/>
    <w:rsid w:val="000142EA"/>
    <w:rsid w:val="0002089A"/>
    <w:rsid w:val="00026B6B"/>
    <w:rsid w:val="000469AB"/>
    <w:rsid w:val="00053534"/>
    <w:rsid w:val="0006599C"/>
    <w:rsid w:val="00067E60"/>
    <w:rsid w:val="000728F8"/>
    <w:rsid w:val="00080BE7"/>
    <w:rsid w:val="000866BA"/>
    <w:rsid w:val="00086CAD"/>
    <w:rsid w:val="00094189"/>
    <w:rsid w:val="000A24FE"/>
    <w:rsid w:val="000A7B2D"/>
    <w:rsid w:val="000C3208"/>
    <w:rsid w:val="000D3C3D"/>
    <w:rsid w:val="00101C09"/>
    <w:rsid w:val="00102DDA"/>
    <w:rsid w:val="00115A00"/>
    <w:rsid w:val="00122789"/>
    <w:rsid w:val="00143A65"/>
    <w:rsid w:val="001513D4"/>
    <w:rsid w:val="00151B3C"/>
    <w:rsid w:val="00151C88"/>
    <w:rsid w:val="00153A0B"/>
    <w:rsid w:val="001636DE"/>
    <w:rsid w:val="0017423C"/>
    <w:rsid w:val="0018317C"/>
    <w:rsid w:val="001842BA"/>
    <w:rsid w:val="0019182A"/>
    <w:rsid w:val="001A7700"/>
    <w:rsid w:val="001B1037"/>
    <w:rsid w:val="001D03E6"/>
    <w:rsid w:val="001D1029"/>
    <w:rsid w:val="001D3862"/>
    <w:rsid w:val="002003AA"/>
    <w:rsid w:val="00220536"/>
    <w:rsid w:val="00221F9C"/>
    <w:rsid w:val="00231382"/>
    <w:rsid w:val="00235CB9"/>
    <w:rsid w:val="00241CE0"/>
    <w:rsid w:val="00260837"/>
    <w:rsid w:val="00262D6D"/>
    <w:rsid w:val="00264679"/>
    <w:rsid w:val="00277FE7"/>
    <w:rsid w:val="00290F64"/>
    <w:rsid w:val="002C7D2D"/>
    <w:rsid w:val="002C7D41"/>
    <w:rsid w:val="002E6A46"/>
    <w:rsid w:val="002F4961"/>
    <w:rsid w:val="00316798"/>
    <w:rsid w:val="00316DA9"/>
    <w:rsid w:val="00322C58"/>
    <w:rsid w:val="0034311A"/>
    <w:rsid w:val="003433AD"/>
    <w:rsid w:val="00343F47"/>
    <w:rsid w:val="00356088"/>
    <w:rsid w:val="00357936"/>
    <w:rsid w:val="003765B0"/>
    <w:rsid w:val="003822F0"/>
    <w:rsid w:val="00383B76"/>
    <w:rsid w:val="00385051"/>
    <w:rsid w:val="00391416"/>
    <w:rsid w:val="003B0ACE"/>
    <w:rsid w:val="003C306A"/>
    <w:rsid w:val="003E2169"/>
    <w:rsid w:val="003E522F"/>
    <w:rsid w:val="003F0460"/>
    <w:rsid w:val="00407C59"/>
    <w:rsid w:val="00416ABC"/>
    <w:rsid w:val="00441571"/>
    <w:rsid w:val="0045473B"/>
    <w:rsid w:val="00457541"/>
    <w:rsid w:val="00481204"/>
    <w:rsid w:val="0048483C"/>
    <w:rsid w:val="004A2242"/>
    <w:rsid w:val="004A44DE"/>
    <w:rsid w:val="004C7BC9"/>
    <w:rsid w:val="004D5BCE"/>
    <w:rsid w:val="004E57F8"/>
    <w:rsid w:val="004E6444"/>
    <w:rsid w:val="004F7760"/>
    <w:rsid w:val="00530544"/>
    <w:rsid w:val="00534910"/>
    <w:rsid w:val="005704F5"/>
    <w:rsid w:val="005716E3"/>
    <w:rsid w:val="005765E7"/>
    <w:rsid w:val="005915AF"/>
    <w:rsid w:val="005B7895"/>
    <w:rsid w:val="005F6DFE"/>
    <w:rsid w:val="005F7A13"/>
    <w:rsid w:val="006006CA"/>
    <w:rsid w:val="0060169F"/>
    <w:rsid w:val="006133ED"/>
    <w:rsid w:val="006153AD"/>
    <w:rsid w:val="00623FD9"/>
    <w:rsid w:val="00624FF9"/>
    <w:rsid w:val="00625967"/>
    <w:rsid w:val="006431D9"/>
    <w:rsid w:val="006434AD"/>
    <w:rsid w:val="0064742D"/>
    <w:rsid w:val="00676003"/>
    <w:rsid w:val="006912B5"/>
    <w:rsid w:val="006945C8"/>
    <w:rsid w:val="006A6191"/>
    <w:rsid w:val="006D3C38"/>
    <w:rsid w:val="006D7C27"/>
    <w:rsid w:val="006F59FC"/>
    <w:rsid w:val="00713EE5"/>
    <w:rsid w:val="00714AA3"/>
    <w:rsid w:val="00724AED"/>
    <w:rsid w:val="00725476"/>
    <w:rsid w:val="00734CBB"/>
    <w:rsid w:val="0074091E"/>
    <w:rsid w:val="007636DE"/>
    <w:rsid w:val="007639F7"/>
    <w:rsid w:val="00781B01"/>
    <w:rsid w:val="007906E8"/>
    <w:rsid w:val="0079092C"/>
    <w:rsid w:val="00791D9C"/>
    <w:rsid w:val="007B29A2"/>
    <w:rsid w:val="007B364F"/>
    <w:rsid w:val="007B53A4"/>
    <w:rsid w:val="007F24A5"/>
    <w:rsid w:val="00802AC3"/>
    <w:rsid w:val="00804D4E"/>
    <w:rsid w:val="00815EA7"/>
    <w:rsid w:val="00832345"/>
    <w:rsid w:val="008339B4"/>
    <w:rsid w:val="00833D77"/>
    <w:rsid w:val="00854E37"/>
    <w:rsid w:val="008730CF"/>
    <w:rsid w:val="008A39A2"/>
    <w:rsid w:val="008A4949"/>
    <w:rsid w:val="008A5442"/>
    <w:rsid w:val="008B54CF"/>
    <w:rsid w:val="008B6C27"/>
    <w:rsid w:val="008B6CB6"/>
    <w:rsid w:val="0090089F"/>
    <w:rsid w:val="00913AB0"/>
    <w:rsid w:val="00952512"/>
    <w:rsid w:val="00955D90"/>
    <w:rsid w:val="00960B65"/>
    <w:rsid w:val="00986EE4"/>
    <w:rsid w:val="009C4EFB"/>
    <w:rsid w:val="009E7B63"/>
    <w:rsid w:val="00A07A00"/>
    <w:rsid w:val="00A11024"/>
    <w:rsid w:val="00A375F9"/>
    <w:rsid w:val="00A63A51"/>
    <w:rsid w:val="00A64FD6"/>
    <w:rsid w:val="00A6656E"/>
    <w:rsid w:val="00A76EB4"/>
    <w:rsid w:val="00A805C2"/>
    <w:rsid w:val="00A87FE8"/>
    <w:rsid w:val="00A9470A"/>
    <w:rsid w:val="00A97883"/>
    <w:rsid w:val="00AA3B29"/>
    <w:rsid w:val="00AA52B7"/>
    <w:rsid w:val="00AD53EB"/>
    <w:rsid w:val="00AD5AEE"/>
    <w:rsid w:val="00B11F03"/>
    <w:rsid w:val="00B12AAD"/>
    <w:rsid w:val="00B72B02"/>
    <w:rsid w:val="00B75F99"/>
    <w:rsid w:val="00B778D6"/>
    <w:rsid w:val="00B80CF3"/>
    <w:rsid w:val="00B81FD1"/>
    <w:rsid w:val="00B8277E"/>
    <w:rsid w:val="00BA2DA7"/>
    <w:rsid w:val="00BA4604"/>
    <w:rsid w:val="00BC22E6"/>
    <w:rsid w:val="00BC29A2"/>
    <w:rsid w:val="00BC3930"/>
    <w:rsid w:val="00BC7BE4"/>
    <w:rsid w:val="00BD2DBD"/>
    <w:rsid w:val="00BE0769"/>
    <w:rsid w:val="00C02A2C"/>
    <w:rsid w:val="00C1133C"/>
    <w:rsid w:val="00C1232D"/>
    <w:rsid w:val="00C33253"/>
    <w:rsid w:val="00C377B2"/>
    <w:rsid w:val="00C623BC"/>
    <w:rsid w:val="00C64C5E"/>
    <w:rsid w:val="00C718D4"/>
    <w:rsid w:val="00CA1AE5"/>
    <w:rsid w:val="00CA51DD"/>
    <w:rsid w:val="00CC010C"/>
    <w:rsid w:val="00CC5661"/>
    <w:rsid w:val="00CD55F0"/>
    <w:rsid w:val="00CD6227"/>
    <w:rsid w:val="00CE21B7"/>
    <w:rsid w:val="00CF3A8C"/>
    <w:rsid w:val="00CF7FDB"/>
    <w:rsid w:val="00D0524B"/>
    <w:rsid w:val="00D10729"/>
    <w:rsid w:val="00D12F7A"/>
    <w:rsid w:val="00D16B84"/>
    <w:rsid w:val="00D17681"/>
    <w:rsid w:val="00D345D0"/>
    <w:rsid w:val="00D41477"/>
    <w:rsid w:val="00D439FA"/>
    <w:rsid w:val="00D47FEF"/>
    <w:rsid w:val="00D57A9A"/>
    <w:rsid w:val="00D74A3F"/>
    <w:rsid w:val="00D77E5A"/>
    <w:rsid w:val="00D96339"/>
    <w:rsid w:val="00D971FA"/>
    <w:rsid w:val="00DA1AEE"/>
    <w:rsid w:val="00DA5C00"/>
    <w:rsid w:val="00DB25BA"/>
    <w:rsid w:val="00DD4496"/>
    <w:rsid w:val="00DD64A0"/>
    <w:rsid w:val="00E67D66"/>
    <w:rsid w:val="00E71E4E"/>
    <w:rsid w:val="00E774F4"/>
    <w:rsid w:val="00E95EF3"/>
    <w:rsid w:val="00EB08DD"/>
    <w:rsid w:val="00EB72CC"/>
    <w:rsid w:val="00EC624E"/>
    <w:rsid w:val="00ED3E6A"/>
    <w:rsid w:val="00F14796"/>
    <w:rsid w:val="00F32A82"/>
    <w:rsid w:val="00F3308A"/>
    <w:rsid w:val="00F3620D"/>
    <w:rsid w:val="00F41B35"/>
    <w:rsid w:val="00F71B5E"/>
    <w:rsid w:val="00FB6BD9"/>
    <w:rsid w:val="00FB7054"/>
    <w:rsid w:val="00FB773F"/>
    <w:rsid w:val="00FE2417"/>
    <w:rsid w:val="00FE2F88"/>
    <w:rsid w:val="00FF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BB89A-C7C7-4D20-8A8B-1E36E64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6D"/>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B6C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742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1477"/>
    <w:pPr>
      <w:framePr w:w="7920" w:h="1980" w:hRule="exact" w:hSpace="180" w:wrap="auto" w:hAnchor="page" w:xAlign="center" w:yAlign="bottom"/>
      <w:ind w:left="2880"/>
    </w:pPr>
    <w:rPr>
      <w:rFonts w:ascii="Verdana" w:eastAsiaTheme="majorEastAsia" w:hAnsi="Verdana" w:cstheme="majorBidi"/>
      <w:szCs w:val="24"/>
    </w:rPr>
  </w:style>
  <w:style w:type="paragraph" w:styleId="EnvelopeReturn">
    <w:name w:val="envelope return"/>
    <w:basedOn w:val="Normal"/>
    <w:uiPriority w:val="99"/>
    <w:semiHidden/>
    <w:unhideWhenUsed/>
    <w:rsid w:val="00D41477"/>
    <w:rPr>
      <w:rFonts w:ascii="Verdana" w:eastAsiaTheme="majorEastAsia" w:hAnsi="Verdana" w:cstheme="majorBidi"/>
      <w:sz w:val="20"/>
    </w:rPr>
  </w:style>
  <w:style w:type="character" w:styleId="Hyperlink">
    <w:name w:val="Hyperlink"/>
    <w:basedOn w:val="DefaultParagraphFont"/>
    <w:uiPriority w:val="99"/>
    <w:unhideWhenUsed/>
    <w:rsid w:val="00724AED"/>
    <w:rPr>
      <w:color w:val="0000FF" w:themeColor="hyperlink"/>
      <w:u w:val="single"/>
    </w:rPr>
  </w:style>
  <w:style w:type="character" w:styleId="FollowedHyperlink">
    <w:name w:val="FollowedHyperlink"/>
    <w:basedOn w:val="DefaultParagraphFont"/>
    <w:uiPriority w:val="99"/>
    <w:semiHidden/>
    <w:unhideWhenUsed/>
    <w:rsid w:val="00B81FD1"/>
    <w:rPr>
      <w:color w:val="800080" w:themeColor="followedHyperlink"/>
      <w:u w:val="single"/>
    </w:rPr>
  </w:style>
  <w:style w:type="paragraph" w:styleId="Header">
    <w:name w:val="header"/>
    <w:basedOn w:val="Normal"/>
    <w:link w:val="HeaderChar"/>
    <w:uiPriority w:val="99"/>
    <w:unhideWhenUsed/>
    <w:rsid w:val="0048483C"/>
    <w:pPr>
      <w:tabs>
        <w:tab w:val="center" w:pos="4680"/>
        <w:tab w:val="right" w:pos="9360"/>
      </w:tabs>
    </w:pPr>
  </w:style>
  <w:style w:type="character" w:customStyle="1" w:styleId="HeaderChar">
    <w:name w:val="Header Char"/>
    <w:basedOn w:val="DefaultParagraphFont"/>
    <w:link w:val="Header"/>
    <w:uiPriority w:val="99"/>
    <w:rsid w:val="0048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483C"/>
    <w:pPr>
      <w:tabs>
        <w:tab w:val="center" w:pos="4680"/>
        <w:tab w:val="right" w:pos="9360"/>
      </w:tabs>
    </w:pPr>
  </w:style>
  <w:style w:type="character" w:customStyle="1" w:styleId="FooterChar">
    <w:name w:val="Footer Char"/>
    <w:basedOn w:val="DefaultParagraphFont"/>
    <w:link w:val="Footer"/>
    <w:uiPriority w:val="99"/>
    <w:rsid w:val="0048483C"/>
    <w:rPr>
      <w:rFonts w:ascii="Times New Roman" w:eastAsia="Times New Roman" w:hAnsi="Times New Roman" w:cs="Times New Roman"/>
      <w:sz w:val="24"/>
      <w:szCs w:val="20"/>
    </w:rPr>
  </w:style>
  <w:style w:type="paragraph" w:styleId="ListParagraph">
    <w:name w:val="List Paragraph"/>
    <w:basedOn w:val="Normal"/>
    <w:uiPriority w:val="34"/>
    <w:qFormat/>
    <w:rsid w:val="00A6656E"/>
    <w:pPr>
      <w:ind w:left="720"/>
      <w:contextualSpacing/>
    </w:pPr>
  </w:style>
  <w:style w:type="character" w:customStyle="1" w:styleId="Heading1Char">
    <w:name w:val="Heading 1 Char"/>
    <w:basedOn w:val="DefaultParagraphFont"/>
    <w:link w:val="Heading1"/>
    <w:uiPriority w:val="9"/>
    <w:rsid w:val="008B6C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CB6"/>
    <w:rPr>
      <w:rFonts w:asciiTheme="majorHAnsi" w:eastAsiaTheme="majorEastAsia" w:hAnsiTheme="majorHAnsi" w:cstheme="majorBidi"/>
      <w:color w:val="365F91" w:themeColor="accent1" w:themeShade="BF"/>
      <w:sz w:val="26"/>
      <w:szCs w:val="26"/>
    </w:rPr>
  </w:style>
  <w:style w:type="character" w:customStyle="1" w:styleId="A16">
    <w:name w:val="A16"/>
    <w:uiPriority w:val="99"/>
    <w:rsid w:val="005915AF"/>
    <w:rPr>
      <w:rFonts w:cs="Myriad Pro"/>
      <w:color w:val="000000"/>
      <w:sz w:val="15"/>
      <w:szCs w:val="15"/>
    </w:rPr>
  </w:style>
  <w:style w:type="paragraph" w:customStyle="1" w:styleId="Default">
    <w:name w:val="Default"/>
    <w:rsid w:val="00D439FA"/>
    <w:pPr>
      <w:autoSpaceDE w:val="0"/>
      <w:autoSpaceDN w:val="0"/>
      <w:adjustRightInd w:val="0"/>
    </w:pPr>
    <w:rPr>
      <w:rFonts w:ascii="Times New Roman" w:hAnsi="Times New Roman" w:cs="Times New Roman"/>
      <w:color w:val="000000"/>
      <w:sz w:val="24"/>
      <w:szCs w:val="24"/>
    </w:rPr>
  </w:style>
  <w:style w:type="character" w:customStyle="1" w:styleId="highlight">
    <w:name w:val="highlight"/>
    <w:basedOn w:val="DefaultParagraphFont"/>
    <w:rsid w:val="00D439FA"/>
    <w:rPr>
      <w:shd w:val="clear" w:color="auto" w:fill="FFFF00"/>
    </w:rPr>
  </w:style>
  <w:style w:type="character" w:customStyle="1" w:styleId="Heading3Char">
    <w:name w:val="Heading 3 Char"/>
    <w:basedOn w:val="DefaultParagraphFont"/>
    <w:link w:val="Heading3"/>
    <w:uiPriority w:val="9"/>
    <w:semiHidden/>
    <w:rsid w:val="006474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100">
      <w:bodyDiv w:val="1"/>
      <w:marLeft w:val="0"/>
      <w:marRight w:val="0"/>
      <w:marTop w:val="0"/>
      <w:marBottom w:val="0"/>
      <w:divBdr>
        <w:top w:val="none" w:sz="0" w:space="0" w:color="auto"/>
        <w:left w:val="none" w:sz="0" w:space="0" w:color="auto"/>
        <w:bottom w:val="none" w:sz="0" w:space="0" w:color="auto"/>
        <w:right w:val="none" w:sz="0" w:space="0" w:color="auto"/>
      </w:divBdr>
      <w:divsChild>
        <w:div w:id="2065331552">
          <w:marLeft w:val="0"/>
          <w:marRight w:val="0"/>
          <w:marTop w:val="0"/>
          <w:marBottom w:val="0"/>
          <w:divBdr>
            <w:top w:val="none" w:sz="0" w:space="0" w:color="auto"/>
            <w:left w:val="none" w:sz="0" w:space="0" w:color="auto"/>
            <w:bottom w:val="none" w:sz="0" w:space="0" w:color="auto"/>
            <w:right w:val="none" w:sz="0" w:space="0" w:color="auto"/>
          </w:divBdr>
          <w:divsChild>
            <w:div w:id="1083145091">
              <w:marLeft w:val="0"/>
              <w:marRight w:val="0"/>
              <w:marTop w:val="0"/>
              <w:marBottom w:val="0"/>
              <w:divBdr>
                <w:top w:val="none" w:sz="0" w:space="0" w:color="auto"/>
                <w:left w:val="none" w:sz="0" w:space="0" w:color="auto"/>
                <w:bottom w:val="none" w:sz="0" w:space="0" w:color="auto"/>
                <w:right w:val="none" w:sz="0" w:space="0" w:color="auto"/>
              </w:divBdr>
              <w:divsChild>
                <w:div w:id="432285604">
                  <w:marLeft w:val="0"/>
                  <w:marRight w:val="0"/>
                  <w:marTop w:val="0"/>
                  <w:marBottom w:val="0"/>
                  <w:divBdr>
                    <w:top w:val="none" w:sz="0" w:space="0" w:color="auto"/>
                    <w:left w:val="none" w:sz="0" w:space="0" w:color="auto"/>
                    <w:bottom w:val="none" w:sz="0" w:space="0" w:color="auto"/>
                    <w:right w:val="none" w:sz="0" w:space="0" w:color="auto"/>
                  </w:divBdr>
                  <w:divsChild>
                    <w:div w:id="1250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4555">
      <w:bodyDiv w:val="1"/>
      <w:marLeft w:val="0"/>
      <w:marRight w:val="0"/>
      <w:marTop w:val="0"/>
      <w:marBottom w:val="0"/>
      <w:divBdr>
        <w:top w:val="none" w:sz="0" w:space="0" w:color="auto"/>
        <w:left w:val="none" w:sz="0" w:space="0" w:color="auto"/>
        <w:bottom w:val="none" w:sz="0" w:space="0" w:color="auto"/>
        <w:right w:val="none" w:sz="0" w:space="0" w:color="auto"/>
      </w:divBdr>
    </w:div>
    <w:div w:id="12469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00-title34-vol1/xml/CFR-2000-title34-vol1-sec80-32.xml" TargetMode="External"/><Relationship Id="rId13" Type="http://schemas.openxmlformats.org/officeDocument/2006/relationships/hyperlink" Target="https://www.ok.gov/abletech/Programs_for_Children_and_Youth/OSDE_PK-12_and_SSIP/" TargetMode="External"/><Relationship Id="rId18" Type="http://schemas.openxmlformats.org/officeDocument/2006/relationships/hyperlink" Target="http://www.at3center.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revisor.mn.gov/statutes/?id=125A.59" TargetMode="External"/><Relationship Id="rId17" Type="http://schemas.openxmlformats.org/officeDocument/2006/relationships/hyperlink" Target="http://www.doe.virginia.gov/administrators/superintendents_memos/2013/239-13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e.virginia.gov/administrators/superintendents_memos/2013/239-13.s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125A.58"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xrules.elaws.us/rule/title19_chapter89_sec.89.1056" TargetMode="External"/><Relationship Id="rId23" Type="http://schemas.openxmlformats.org/officeDocument/2006/relationships/header" Target="header3.xml"/><Relationship Id="rId10" Type="http://schemas.openxmlformats.org/officeDocument/2006/relationships/hyperlink" Target="https://static1.squarespace.com/static/57c86c3cff7c506bc7a8fdbf/t/599f3afdf5e231b03da72246/1503607549321/DVR+CDE+Agreement+2015.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w.esc18.net/FrameworkAuthoringSystem/Documents/AdditionalResources/OSEP%20Letter%20to%20Goodman%206.21.1998.pdf" TargetMode="External"/><Relationship Id="rId14" Type="http://schemas.openxmlformats.org/officeDocument/2006/relationships/hyperlink" Target="https://www.ok.gov/abletech/documents/Assistive_Tech.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AT3 Issue Brief</dc:title>
  <dc:subject>Transfer of School-Purchased AT</dc:subject>
  <dc:creator>Diane</dc:creator>
  <cp:keywords/>
  <dc:description/>
  <cp:lastModifiedBy>Kathy</cp:lastModifiedBy>
  <cp:revision>33</cp:revision>
  <cp:lastPrinted>2017-11-01T21:02:00Z</cp:lastPrinted>
  <dcterms:created xsi:type="dcterms:W3CDTF">2017-11-01T14:52:00Z</dcterms:created>
  <dcterms:modified xsi:type="dcterms:W3CDTF">2017-11-01T23:58:00Z</dcterms:modified>
</cp:coreProperties>
</file>