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A3" w:rsidRPr="00076135" w:rsidRDefault="003947A3" w:rsidP="00DE2BEE">
      <w:pPr>
        <w:pStyle w:val="Heading1"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 xml:space="preserve">Demonstrating Assistive Technology for </w:t>
      </w:r>
      <w:r w:rsidR="0094298D" w:rsidRPr="00076135">
        <w:rPr>
          <w:rFonts w:ascii="Verdana" w:hAnsi="Verdana"/>
          <w:sz w:val="24"/>
          <w:szCs w:val="24"/>
        </w:rPr>
        <w:t>Low Vision and Blindness</w:t>
      </w:r>
      <w:r w:rsidRPr="00076135">
        <w:rPr>
          <w:rFonts w:ascii="Verdana" w:hAnsi="Verdana"/>
          <w:sz w:val="24"/>
          <w:szCs w:val="24"/>
        </w:rPr>
        <w:t>:</w:t>
      </w:r>
    </w:p>
    <w:p w:rsidR="003947A3" w:rsidRPr="00076135" w:rsidRDefault="003947A3" w:rsidP="00B01890">
      <w:pPr>
        <w:pStyle w:val="Heading2"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Knowledge and Skills</w:t>
      </w:r>
    </w:p>
    <w:p w:rsidR="003947A3" w:rsidRPr="00076135" w:rsidRDefault="003947A3" w:rsidP="003947A3">
      <w:pPr>
        <w:ind w:left="360"/>
        <w:rPr>
          <w:rFonts w:ascii="Verdana" w:hAnsi="Verdana"/>
          <w:sz w:val="24"/>
          <w:szCs w:val="24"/>
        </w:rPr>
      </w:pPr>
    </w:p>
    <w:p w:rsidR="0094298D" w:rsidRPr="00076135" w:rsidRDefault="0094298D" w:rsidP="006C2041">
      <w:pPr>
        <w:numPr>
          <w:ilvl w:val="0"/>
          <w:numId w:val="2"/>
        </w:numPr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Understands function(s) of the device type</w:t>
      </w:r>
    </w:p>
    <w:p w:rsidR="0094298D" w:rsidRPr="00076135" w:rsidRDefault="0094298D" w:rsidP="006C2041">
      <w:pPr>
        <w:numPr>
          <w:ilvl w:val="0"/>
          <w:numId w:val="12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Near vision – hand-held magnifiers (all types), magnifying glasses, near vision devices (i.e. Video magnifiers)</w:t>
      </w:r>
    </w:p>
    <w:p w:rsidR="0094298D" w:rsidRPr="00076135" w:rsidRDefault="0094298D" w:rsidP="006C2041">
      <w:pPr>
        <w:numPr>
          <w:ilvl w:val="0"/>
          <w:numId w:val="12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Distance vision (e.g. monoculars, binoculars, telescopes, and distance video camera devices)</w:t>
      </w:r>
    </w:p>
    <w:p w:rsidR="0094298D" w:rsidRPr="00076135" w:rsidRDefault="0094298D" w:rsidP="006C2041">
      <w:pPr>
        <w:numPr>
          <w:ilvl w:val="0"/>
          <w:numId w:val="12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Multipurpose: magnification software and apps</w:t>
      </w:r>
    </w:p>
    <w:p w:rsidR="0094298D" w:rsidRPr="00076135" w:rsidRDefault="0094298D" w:rsidP="006C2041">
      <w:pPr>
        <w:numPr>
          <w:ilvl w:val="0"/>
          <w:numId w:val="12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Auditory devices, i.e. clocks, watches, book readers, medical devices, scales, personal assistance (Amazon Echo, Dot, Google Home), etc. recorders, digital note takers</w:t>
      </w:r>
    </w:p>
    <w:p w:rsidR="0094298D" w:rsidRPr="00076135" w:rsidRDefault="0094298D" w:rsidP="006C2041">
      <w:pPr>
        <w:numPr>
          <w:ilvl w:val="0"/>
          <w:numId w:val="12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Large Print – keyboards, overlays, paper, books</w:t>
      </w:r>
    </w:p>
    <w:p w:rsidR="0094298D" w:rsidRPr="00076135" w:rsidRDefault="0094298D" w:rsidP="006C2041">
      <w:pPr>
        <w:numPr>
          <w:ilvl w:val="0"/>
          <w:numId w:val="12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Tactile materials and devices, Braille labels, refreshable Braille displays, raised lines and diagrams</w:t>
      </w:r>
    </w:p>
    <w:p w:rsidR="0094298D" w:rsidRPr="00076135" w:rsidRDefault="0094298D" w:rsidP="0094298D">
      <w:pPr>
        <w:ind w:left="1440"/>
        <w:contextualSpacing/>
        <w:rPr>
          <w:rFonts w:ascii="Verdana" w:hAnsi="Verdana"/>
          <w:sz w:val="24"/>
          <w:szCs w:val="24"/>
        </w:rPr>
      </w:pPr>
    </w:p>
    <w:p w:rsidR="0094298D" w:rsidRPr="00076135" w:rsidRDefault="0094298D" w:rsidP="0094298D">
      <w:pPr>
        <w:numPr>
          <w:ilvl w:val="0"/>
          <w:numId w:val="2"/>
        </w:numPr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Understands who can benefit, “eligibility” requirements or misconceptions</w:t>
      </w:r>
    </w:p>
    <w:p w:rsidR="0094298D" w:rsidRPr="00076135" w:rsidRDefault="0094298D" w:rsidP="006C2041">
      <w:pPr>
        <w:numPr>
          <w:ilvl w:val="0"/>
          <w:numId w:val="1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 xml:space="preserve">Understands the </w:t>
      </w:r>
      <w:r w:rsidR="00941A98">
        <w:rPr>
          <w:rFonts w:ascii="Verdana" w:hAnsi="Verdana"/>
          <w:sz w:val="24"/>
          <w:szCs w:val="24"/>
        </w:rPr>
        <w:t xml:space="preserve">range of </w:t>
      </w:r>
      <w:r w:rsidRPr="00076135">
        <w:rPr>
          <w:rFonts w:ascii="Verdana" w:hAnsi="Verdana"/>
          <w:sz w:val="24"/>
          <w:szCs w:val="24"/>
        </w:rPr>
        <w:t>technologies available</w:t>
      </w:r>
    </w:p>
    <w:p w:rsidR="0094298D" w:rsidRPr="00076135" w:rsidRDefault="0094298D" w:rsidP="006C2041">
      <w:pPr>
        <w:numPr>
          <w:ilvl w:val="0"/>
          <w:numId w:val="1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Understands use of the devices with individuals who are conge</w:t>
      </w:r>
      <w:r w:rsidR="00941A98">
        <w:rPr>
          <w:rFonts w:ascii="Verdana" w:hAnsi="Verdana"/>
          <w:sz w:val="24"/>
          <w:szCs w:val="24"/>
        </w:rPr>
        <w:t xml:space="preserve">nitally blind vs. </w:t>
      </w:r>
      <w:r w:rsidRPr="00076135">
        <w:rPr>
          <w:rFonts w:ascii="Verdana" w:hAnsi="Verdana"/>
          <w:sz w:val="24"/>
          <w:szCs w:val="24"/>
        </w:rPr>
        <w:t>acquired vision disabilities (Ushers, RP, cataracts, macular degeneration)</w:t>
      </w:r>
    </w:p>
    <w:p w:rsidR="0094298D" w:rsidRPr="00076135" w:rsidRDefault="0094298D" w:rsidP="006C2041">
      <w:pPr>
        <w:numPr>
          <w:ilvl w:val="0"/>
          <w:numId w:val="1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Understands what “legal blindness” means and the spectrum of visual differences</w:t>
      </w:r>
    </w:p>
    <w:p w:rsidR="0094298D" w:rsidRPr="00076135" w:rsidRDefault="0094298D" w:rsidP="006C2041">
      <w:pPr>
        <w:numPr>
          <w:ilvl w:val="0"/>
          <w:numId w:val="1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Understands how the Braille code works</w:t>
      </w:r>
    </w:p>
    <w:p w:rsidR="0094298D" w:rsidRPr="00076135" w:rsidRDefault="0094298D" w:rsidP="0094298D">
      <w:pPr>
        <w:ind w:left="1440"/>
        <w:contextualSpacing/>
        <w:rPr>
          <w:rFonts w:ascii="Verdana" w:hAnsi="Verdana"/>
          <w:sz w:val="24"/>
          <w:szCs w:val="24"/>
        </w:rPr>
      </w:pPr>
    </w:p>
    <w:p w:rsidR="0094298D" w:rsidRPr="00076135" w:rsidRDefault="0094298D" w:rsidP="0094298D">
      <w:pPr>
        <w:numPr>
          <w:ilvl w:val="0"/>
          <w:numId w:val="2"/>
        </w:numPr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Understands and is able to explain to consumers vocabulary related to the device, features, and functions</w:t>
      </w:r>
    </w:p>
    <w:p w:rsidR="0094298D" w:rsidRPr="00076135" w:rsidRDefault="0094298D" w:rsidP="006C2041">
      <w:pPr>
        <w:numPr>
          <w:ilvl w:val="0"/>
          <w:numId w:val="13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Refreshable Braille</w:t>
      </w:r>
    </w:p>
    <w:p w:rsidR="0094298D" w:rsidRPr="00076135" w:rsidRDefault="0094298D" w:rsidP="006C2041">
      <w:pPr>
        <w:numPr>
          <w:ilvl w:val="0"/>
          <w:numId w:val="13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Digitized video devices</w:t>
      </w:r>
    </w:p>
    <w:p w:rsidR="0094298D" w:rsidRPr="00076135" w:rsidRDefault="0094298D" w:rsidP="006C2041">
      <w:pPr>
        <w:numPr>
          <w:ilvl w:val="0"/>
          <w:numId w:val="13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Auditory feedback and digital voices</w:t>
      </w:r>
    </w:p>
    <w:p w:rsidR="0094298D" w:rsidRDefault="0094298D" w:rsidP="006C2041">
      <w:pPr>
        <w:numPr>
          <w:ilvl w:val="0"/>
          <w:numId w:val="13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OCR – Optical Character Recognition</w:t>
      </w:r>
    </w:p>
    <w:p w:rsidR="00B06AFC" w:rsidRPr="00076135" w:rsidRDefault="00B06AFC" w:rsidP="006C2041">
      <w:pPr>
        <w:numPr>
          <w:ilvl w:val="0"/>
          <w:numId w:val="13"/>
        </w:numPr>
        <w:ind w:left="72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Accessible Instructional Materials (AIM)</w:t>
      </w:r>
    </w:p>
    <w:p w:rsidR="0094298D" w:rsidRPr="00076135" w:rsidRDefault="0094298D" w:rsidP="0094298D">
      <w:pPr>
        <w:ind w:left="1440"/>
        <w:contextualSpacing/>
        <w:rPr>
          <w:rFonts w:ascii="Verdana" w:hAnsi="Verdana"/>
          <w:sz w:val="24"/>
          <w:szCs w:val="24"/>
        </w:rPr>
      </w:pPr>
    </w:p>
    <w:p w:rsidR="0094298D" w:rsidRPr="00076135" w:rsidRDefault="0094298D" w:rsidP="0094298D">
      <w:pPr>
        <w:numPr>
          <w:ilvl w:val="0"/>
          <w:numId w:val="2"/>
        </w:numPr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 xml:space="preserve">Able to compare and contrast product </w:t>
      </w:r>
      <w:r w:rsidRPr="00076135">
        <w:rPr>
          <w:rFonts w:ascii="Verdana" w:hAnsi="Verdana"/>
          <w:sz w:val="24"/>
          <w:szCs w:val="24"/>
          <w:u w:val="single"/>
        </w:rPr>
        <w:t>types</w:t>
      </w:r>
      <w:r w:rsidRPr="00076135">
        <w:rPr>
          <w:rFonts w:ascii="Verdana" w:hAnsi="Verdana"/>
          <w:sz w:val="24"/>
          <w:szCs w:val="24"/>
        </w:rPr>
        <w:t>, including features, capabilities, price</w:t>
      </w:r>
    </w:p>
    <w:p w:rsidR="0094298D" w:rsidRPr="00076135" w:rsidRDefault="0094298D" w:rsidP="006C2041">
      <w:pPr>
        <w:numPr>
          <w:ilvl w:val="0"/>
          <w:numId w:val="14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Tablet + app</w:t>
      </w:r>
    </w:p>
    <w:p w:rsidR="00AE25A9" w:rsidRDefault="0094298D" w:rsidP="006C2041">
      <w:pPr>
        <w:numPr>
          <w:ilvl w:val="0"/>
          <w:numId w:val="14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lastRenderedPageBreak/>
        <w:t>Dedicated device</w:t>
      </w:r>
    </w:p>
    <w:p w:rsidR="00941A98" w:rsidRPr="00076135" w:rsidRDefault="00941A98" w:rsidP="00941A98">
      <w:pPr>
        <w:ind w:left="1440"/>
        <w:contextualSpacing/>
        <w:rPr>
          <w:rFonts w:ascii="Verdana" w:hAnsi="Verdana"/>
          <w:sz w:val="24"/>
          <w:szCs w:val="24"/>
        </w:rPr>
      </w:pPr>
    </w:p>
    <w:p w:rsidR="0094298D" w:rsidRPr="00076135" w:rsidRDefault="0094298D" w:rsidP="0094298D">
      <w:pPr>
        <w:numPr>
          <w:ilvl w:val="0"/>
          <w:numId w:val="2"/>
        </w:numPr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Able to compare and contrast at least three products in each subcategory, including multiple/diverse manufacturers</w:t>
      </w:r>
    </w:p>
    <w:p w:rsidR="0094298D" w:rsidRPr="00076135" w:rsidRDefault="0094298D" w:rsidP="006C2041">
      <w:pPr>
        <w:numPr>
          <w:ilvl w:val="0"/>
          <w:numId w:val="15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Free apps</w:t>
      </w:r>
    </w:p>
    <w:p w:rsidR="0094298D" w:rsidRPr="00076135" w:rsidRDefault="0094298D" w:rsidP="006C2041">
      <w:pPr>
        <w:numPr>
          <w:ilvl w:val="0"/>
          <w:numId w:val="15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Full-featured apps and programs (e.g.</w:t>
      </w:r>
      <w:r w:rsidR="00941A98">
        <w:rPr>
          <w:rFonts w:ascii="Verdana" w:hAnsi="Verdana"/>
          <w:sz w:val="24"/>
          <w:szCs w:val="24"/>
        </w:rPr>
        <w:t xml:space="preserve"> </w:t>
      </w:r>
      <w:r w:rsidRPr="00076135">
        <w:rPr>
          <w:rFonts w:ascii="Verdana" w:hAnsi="Verdana"/>
          <w:sz w:val="24"/>
          <w:szCs w:val="24"/>
        </w:rPr>
        <w:t>KNFB Reader, Voice Dream)</w:t>
      </w:r>
    </w:p>
    <w:p w:rsidR="0094298D" w:rsidRPr="00076135" w:rsidRDefault="0094298D" w:rsidP="006C2041">
      <w:pPr>
        <w:numPr>
          <w:ilvl w:val="0"/>
          <w:numId w:val="15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Magnification software approaches (e.g. “</w:t>
      </w:r>
      <w:proofErr w:type="spellStart"/>
      <w:r w:rsidRPr="00076135">
        <w:rPr>
          <w:rFonts w:ascii="Verdana" w:hAnsi="Verdana"/>
          <w:sz w:val="24"/>
          <w:szCs w:val="24"/>
        </w:rPr>
        <w:t>Zoomtext</w:t>
      </w:r>
      <w:proofErr w:type="spellEnd"/>
      <w:r w:rsidRPr="00076135">
        <w:rPr>
          <w:rFonts w:ascii="Verdana" w:hAnsi="Verdana"/>
          <w:sz w:val="24"/>
          <w:szCs w:val="24"/>
        </w:rPr>
        <w:t>” vs “Magic”)</w:t>
      </w:r>
    </w:p>
    <w:p w:rsidR="0094298D" w:rsidRPr="00076135" w:rsidRDefault="0094298D" w:rsidP="006C2041">
      <w:pPr>
        <w:numPr>
          <w:ilvl w:val="0"/>
          <w:numId w:val="15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Screen readers (JAWS vs NVDA)</w:t>
      </w:r>
    </w:p>
    <w:p w:rsidR="0094298D" w:rsidRPr="00076135" w:rsidRDefault="0094298D" w:rsidP="006C2041">
      <w:pPr>
        <w:numPr>
          <w:ilvl w:val="0"/>
          <w:numId w:val="15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“Built-in” accessibility features in iOS and Microsoft Office products</w:t>
      </w:r>
    </w:p>
    <w:p w:rsidR="0094298D" w:rsidRPr="00076135" w:rsidRDefault="0094298D" w:rsidP="0094298D">
      <w:pPr>
        <w:ind w:left="1440"/>
        <w:contextualSpacing/>
        <w:rPr>
          <w:rFonts w:ascii="Verdana" w:hAnsi="Verdana"/>
          <w:sz w:val="24"/>
          <w:szCs w:val="24"/>
        </w:rPr>
      </w:pPr>
    </w:p>
    <w:p w:rsidR="0094298D" w:rsidRPr="00076135" w:rsidRDefault="0094298D" w:rsidP="0094298D">
      <w:pPr>
        <w:numPr>
          <w:ilvl w:val="0"/>
          <w:numId w:val="2"/>
        </w:numPr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 xml:space="preserve">Able to discuss related technologies </w:t>
      </w:r>
    </w:p>
    <w:p w:rsidR="0094298D" w:rsidRPr="00076135" w:rsidRDefault="0094298D" w:rsidP="006C2041">
      <w:pPr>
        <w:numPr>
          <w:ilvl w:val="0"/>
          <w:numId w:val="16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Digital on-line resources for accessible media from libraries and other sources (i.e. Bookshare, Learning Ally, Library of Congress Talking Book Libraries)</w:t>
      </w:r>
    </w:p>
    <w:p w:rsidR="0094298D" w:rsidRPr="00076135" w:rsidRDefault="0094298D" w:rsidP="006C2041">
      <w:pPr>
        <w:numPr>
          <w:ilvl w:val="0"/>
          <w:numId w:val="16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Computer access – (large print keyboards, screen readers, magnification software)</w:t>
      </w:r>
    </w:p>
    <w:p w:rsidR="0094298D" w:rsidRPr="00076135" w:rsidRDefault="0094298D" w:rsidP="006C2041">
      <w:pPr>
        <w:numPr>
          <w:ilvl w:val="0"/>
          <w:numId w:val="16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Telecommunications access (built-in accessibility features like voiceover, magnifier)</w:t>
      </w:r>
    </w:p>
    <w:p w:rsidR="0094298D" w:rsidRPr="00076135" w:rsidRDefault="0094298D" w:rsidP="0094298D">
      <w:pPr>
        <w:ind w:left="1440"/>
        <w:contextualSpacing/>
        <w:rPr>
          <w:rFonts w:ascii="Verdana" w:hAnsi="Verdana"/>
          <w:sz w:val="24"/>
          <w:szCs w:val="24"/>
        </w:rPr>
      </w:pPr>
    </w:p>
    <w:p w:rsidR="006642DF" w:rsidRPr="00563296" w:rsidRDefault="0094298D" w:rsidP="00563296">
      <w:pPr>
        <w:numPr>
          <w:ilvl w:val="0"/>
          <w:numId w:val="2"/>
        </w:numPr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Has a basic understanding of potential public funding sources for this technology (e.g. sufficient to make referrals)</w:t>
      </w:r>
    </w:p>
    <w:p w:rsidR="006642DF" w:rsidRDefault="006642DF" w:rsidP="006C2041">
      <w:pPr>
        <w:pStyle w:val="ListParagraph"/>
        <w:numPr>
          <w:ilvl w:val="0"/>
          <w:numId w:val="17"/>
        </w:num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Knows about the state’s agency for people who are blind or visually-impaired.</w:t>
      </w:r>
    </w:p>
    <w:p w:rsidR="006642DF" w:rsidRDefault="006642DF" w:rsidP="006C2041">
      <w:pPr>
        <w:pStyle w:val="ListParagraph"/>
        <w:numPr>
          <w:ilvl w:val="0"/>
          <w:numId w:val="17"/>
        </w:num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 children:  understands the role of public education in providing </w:t>
      </w:r>
      <w:r w:rsidR="00563296">
        <w:rPr>
          <w:rFonts w:ascii="Verdana" w:hAnsi="Verdana"/>
          <w:sz w:val="24"/>
          <w:szCs w:val="24"/>
        </w:rPr>
        <w:t>devices and services, including Accessible Instructional Materials (AIM) (sometimes referred to as Accessible Educational Materials [AEM])</w:t>
      </w:r>
    </w:p>
    <w:p w:rsidR="0094298D" w:rsidRPr="00563296" w:rsidRDefault="00563296" w:rsidP="006C2041">
      <w:pPr>
        <w:pStyle w:val="ListParagraph"/>
        <w:numPr>
          <w:ilvl w:val="0"/>
          <w:numId w:val="17"/>
        </w:num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Knows </w:t>
      </w:r>
      <w:r w:rsidRPr="00FA50D6">
        <w:rPr>
          <w:rFonts w:ascii="Verdana" w:hAnsi="Verdana"/>
          <w:sz w:val="24"/>
          <w:szCs w:val="24"/>
        </w:rPr>
        <w:t xml:space="preserve">the community resources that </w:t>
      </w:r>
      <w:r>
        <w:rPr>
          <w:rFonts w:ascii="Verdana" w:hAnsi="Verdana"/>
          <w:sz w:val="24"/>
          <w:szCs w:val="24"/>
        </w:rPr>
        <w:t xml:space="preserve">can </w:t>
      </w:r>
      <w:r w:rsidRPr="00FA50D6">
        <w:rPr>
          <w:rFonts w:ascii="Verdana" w:hAnsi="Verdana"/>
          <w:sz w:val="24"/>
          <w:szCs w:val="24"/>
        </w:rPr>
        <w:t xml:space="preserve">provide </w:t>
      </w:r>
      <w:r>
        <w:rPr>
          <w:rFonts w:ascii="Verdana" w:hAnsi="Verdana"/>
          <w:sz w:val="24"/>
          <w:szCs w:val="24"/>
        </w:rPr>
        <w:t xml:space="preserve">additional </w:t>
      </w:r>
      <w:r w:rsidRPr="00FA50D6">
        <w:rPr>
          <w:rFonts w:ascii="Verdana" w:hAnsi="Verdana"/>
          <w:sz w:val="24"/>
          <w:szCs w:val="24"/>
        </w:rPr>
        <w:t xml:space="preserve">information regarding </w:t>
      </w:r>
      <w:r>
        <w:rPr>
          <w:rFonts w:ascii="Verdana" w:hAnsi="Verdana"/>
          <w:sz w:val="24"/>
          <w:szCs w:val="24"/>
        </w:rPr>
        <w:t>funding.</w:t>
      </w:r>
    </w:p>
    <w:p w:rsidR="00AE25A9" w:rsidRPr="00076135" w:rsidRDefault="0094298D" w:rsidP="0094298D">
      <w:pPr>
        <w:numPr>
          <w:ilvl w:val="0"/>
          <w:numId w:val="2"/>
        </w:numPr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Other considerations:  Demonstrator does NOT need to be a vision specialist but must be able to explain the need for full evaluation vs. this “demonstration”</w:t>
      </w:r>
      <w:proofErr w:type="gramStart"/>
      <w:r w:rsidRPr="00076135">
        <w:rPr>
          <w:rFonts w:ascii="Verdana" w:hAnsi="Verdana"/>
          <w:sz w:val="24"/>
          <w:szCs w:val="24"/>
        </w:rPr>
        <w:t>;</w:t>
      </w:r>
      <w:proofErr w:type="gramEnd"/>
      <w:r w:rsidRPr="00076135">
        <w:rPr>
          <w:rFonts w:ascii="Verdana" w:hAnsi="Verdana"/>
          <w:sz w:val="24"/>
          <w:szCs w:val="24"/>
        </w:rPr>
        <w:t xml:space="preserve"> who evaluation should be conducted by and able to make referrals to evaluator(s).</w:t>
      </w:r>
    </w:p>
    <w:p w:rsidR="00AE25A9" w:rsidRPr="00076135" w:rsidRDefault="00AE25A9" w:rsidP="00AE25A9">
      <w:pPr>
        <w:ind w:left="1080"/>
        <w:contextualSpacing/>
        <w:rPr>
          <w:rFonts w:ascii="Verdana" w:hAnsi="Verdana"/>
          <w:sz w:val="24"/>
          <w:szCs w:val="24"/>
        </w:rPr>
      </w:pPr>
    </w:p>
    <w:p w:rsidR="0094298D" w:rsidRPr="00076135" w:rsidRDefault="00AE25A9" w:rsidP="0094298D">
      <w:pPr>
        <w:numPr>
          <w:ilvl w:val="0"/>
          <w:numId w:val="2"/>
        </w:numPr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 xml:space="preserve"> </w:t>
      </w:r>
      <w:r w:rsidR="0094298D" w:rsidRPr="00076135">
        <w:rPr>
          <w:rFonts w:ascii="Verdana" w:hAnsi="Verdana"/>
          <w:sz w:val="24"/>
          <w:szCs w:val="24"/>
        </w:rPr>
        <w:t xml:space="preserve">Resources for gaining additional information on this topic:  </w:t>
      </w:r>
    </w:p>
    <w:p w:rsidR="0094298D" w:rsidRDefault="0094298D" w:rsidP="006C2041">
      <w:pPr>
        <w:numPr>
          <w:ilvl w:val="0"/>
          <w:numId w:val="3"/>
        </w:numPr>
        <w:ind w:left="720"/>
        <w:contextualSpacing/>
        <w:rPr>
          <w:rFonts w:ascii="Verdana" w:hAnsi="Verdana"/>
          <w:sz w:val="24"/>
          <w:szCs w:val="24"/>
        </w:rPr>
      </w:pPr>
      <w:r w:rsidRPr="00076135">
        <w:rPr>
          <w:rFonts w:ascii="Verdana" w:hAnsi="Verdana"/>
          <w:sz w:val="24"/>
          <w:szCs w:val="24"/>
        </w:rPr>
        <w:t>Vendor/manufacturer training materials on their websites/video channels, YouTube, Eschenbach webinars</w:t>
      </w:r>
    </w:p>
    <w:p w:rsidR="00B06AFC" w:rsidRDefault="00B06AFC" w:rsidP="006C2041">
      <w:pPr>
        <w:numPr>
          <w:ilvl w:val="0"/>
          <w:numId w:val="3"/>
        </w:numPr>
        <w:ind w:left="72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Associations</w:t>
      </w:r>
      <w:r w:rsidR="00935D6B">
        <w:rPr>
          <w:rFonts w:ascii="Verdana" w:hAnsi="Verdana"/>
          <w:sz w:val="24"/>
          <w:szCs w:val="24"/>
        </w:rPr>
        <w:t>/Nonprofits/Schools</w:t>
      </w:r>
      <w:r>
        <w:rPr>
          <w:rFonts w:ascii="Verdana" w:hAnsi="Verdana"/>
          <w:sz w:val="24"/>
          <w:szCs w:val="24"/>
        </w:rPr>
        <w:t xml:space="preserve"> – American </w:t>
      </w:r>
      <w:r w:rsidR="006F78DC">
        <w:rPr>
          <w:rFonts w:ascii="Verdana" w:hAnsi="Verdana"/>
          <w:sz w:val="24"/>
          <w:szCs w:val="24"/>
        </w:rPr>
        <w:t>Foundation</w:t>
      </w:r>
      <w:r>
        <w:rPr>
          <w:rFonts w:ascii="Verdana" w:hAnsi="Verdana"/>
          <w:sz w:val="24"/>
          <w:szCs w:val="24"/>
        </w:rPr>
        <w:t xml:space="preserve"> for the Blind</w:t>
      </w:r>
      <w:r w:rsidR="006F78DC">
        <w:rPr>
          <w:rFonts w:ascii="Verdana" w:hAnsi="Verdana"/>
          <w:sz w:val="24"/>
          <w:szCs w:val="24"/>
        </w:rPr>
        <w:t xml:space="preserve"> (AFB)</w:t>
      </w:r>
      <w:r>
        <w:rPr>
          <w:rFonts w:ascii="Verdana" w:hAnsi="Verdana"/>
          <w:sz w:val="24"/>
          <w:szCs w:val="24"/>
        </w:rPr>
        <w:t xml:space="preserve">; </w:t>
      </w:r>
      <w:r w:rsidR="00935D6B">
        <w:rPr>
          <w:rFonts w:ascii="Verdana" w:hAnsi="Verdana"/>
          <w:sz w:val="24"/>
          <w:szCs w:val="24"/>
        </w:rPr>
        <w:t xml:space="preserve">American Printing House for the Blind (APH);Hadley School for </w:t>
      </w:r>
      <w:bookmarkStart w:id="0" w:name="_GoBack"/>
      <w:bookmarkEnd w:id="0"/>
      <w:r w:rsidR="00935D6B">
        <w:rPr>
          <w:rFonts w:ascii="Verdana" w:hAnsi="Verdana"/>
          <w:sz w:val="24"/>
          <w:szCs w:val="24"/>
        </w:rPr>
        <w:t xml:space="preserve">the Blind (webinars and trainings); National Eye Institute; </w:t>
      </w:r>
      <w:r w:rsidR="006F78DC">
        <w:rPr>
          <w:rFonts w:ascii="Verdana" w:hAnsi="Verdana"/>
          <w:sz w:val="24"/>
          <w:szCs w:val="24"/>
        </w:rPr>
        <w:t>National Federation of the Blind (NFB)</w:t>
      </w:r>
      <w:r w:rsidR="00935D6B">
        <w:rPr>
          <w:rFonts w:ascii="Verdana" w:hAnsi="Verdana"/>
          <w:sz w:val="24"/>
          <w:szCs w:val="24"/>
        </w:rPr>
        <w:t>; Perkins School for the Blind</w:t>
      </w:r>
    </w:p>
    <w:p w:rsidR="0027342F" w:rsidRPr="00076135" w:rsidRDefault="0027342F" w:rsidP="006C2041">
      <w:pPr>
        <w:numPr>
          <w:ilvl w:val="0"/>
          <w:numId w:val="3"/>
        </w:numPr>
        <w:ind w:left="72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CAST (Universal Design for Learning)</w:t>
      </w:r>
    </w:p>
    <w:p w:rsidR="00D91D92" w:rsidRPr="00076135" w:rsidRDefault="00D91D92" w:rsidP="00D91D92">
      <w:pPr>
        <w:rPr>
          <w:rFonts w:ascii="Verdana" w:hAnsi="Verdana"/>
          <w:sz w:val="24"/>
          <w:szCs w:val="24"/>
        </w:rPr>
      </w:pPr>
    </w:p>
    <w:p w:rsidR="00D91D92" w:rsidRPr="00076135" w:rsidRDefault="00D91D92" w:rsidP="00581616">
      <w:pPr>
        <w:spacing w:after="0" w:line="240" w:lineRule="auto"/>
        <w:rPr>
          <w:rFonts w:ascii="Verdana" w:hAnsi="Verdana"/>
          <w:sz w:val="24"/>
          <w:szCs w:val="24"/>
        </w:rPr>
      </w:pPr>
      <w:r w:rsidRPr="00076135">
        <w:rPr>
          <w:rFonts w:ascii="Verdana" w:hAnsi="Verdana" w:cs="Myriad Pro"/>
          <w:i/>
          <w:color w:val="000000"/>
          <w:sz w:val="24"/>
          <w:szCs w:val="24"/>
        </w:rPr>
        <w:t>This</w:t>
      </w:r>
      <w:r w:rsidR="00581616" w:rsidRPr="00076135">
        <w:rPr>
          <w:rFonts w:ascii="Verdana" w:hAnsi="Verdana" w:cs="Myriad Pro"/>
          <w:i/>
          <w:color w:val="000000"/>
          <w:sz w:val="24"/>
          <w:szCs w:val="24"/>
        </w:rPr>
        <w:t xml:space="preserve"> </w:t>
      </w:r>
      <w:r w:rsidRPr="00076135">
        <w:rPr>
          <w:rFonts w:ascii="Verdana" w:hAnsi="Verdana" w:cs="Myriad Pro"/>
          <w:i/>
          <w:color w:val="000000"/>
          <w:sz w:val="24"/>
          <w:szCs w:val="24"/>
        </w:rPr>
        <w:t xml:space="preserve">document was developed and produced by the </w:t>
      </w:r>
      <w:hyperlink r:id="rId7" w:history="1">
        <w:r w:rsidRPr="00076135">
          <w:rPr>
            <w:rFonts w:ascii="Verdana" w:hAnsi="Verdana" w:cs="Myriad Pro"/>
            <w:i/>
            <w:color w:val="0563C1" w:themeColor="hyperlink"/>
            <w:sz w:val="24"/>
            <w:szCs w:val="24"/>
            <w:u w:val="single"/>
          </w:rPr>
          <w:t>Assistive Technology Act Technical Assistance and Training (AT3) Center</w:t>
        </w:r>
      </w:hyperlink>
      <w:r w:rsidRPr="00076135">
        <w:rPr>
          <w:rFonts w:ascii="Verdana" w:hAnsi="Verdana" w:cs="Myriad Pro"/>
          <w:i/>
          <w:color w:val="000000"/>
          <w:sz w:val="24"/>
          <w:szCs w:val="24"/>
        </w:rPr>
        <w:t xml:space="preserve"> funded by Grant #90ATTA0001-01-00 from the Administration for Community Living (ACL). Any opinions reflected herein are solely the responsibility of the authors and do not necessarily represent the official views of ACL. Last updated </w:t>
      </w:r>
      <w:r w:rsidR="00076135">
        <w:rPr>
          <w:rFonts w:ascii="Verdana" w:hAnsi="Verdana" w:cs="Myriad Pro"/>
          <w:i/>
          <w:color w:val="000000"/>
          <w:sz w:val="24"/>
          <w:szCs w:val="24"/>
        </w:rPr>
        <w:t>April</w:t>
      </w:r>
      <w:r w:rsidRPr="00076135">
        <w:rPr>
          <w:rFonts w:ascii="Verdana" w:hAnsi="Verdana" w:cs="Myriad Pro"/>
          <w:i/>
          <w:sz w:val="24"/>
          <w:szCs w:val="24"/>
        </w:rPr>
        <w:t xml:space="preserve"> 2018</w:t>
      </w:r>
      <w:r w:rsidR="00581616" w:rsidRPr="00076135">
        <w:rPr>
          <w:rFonts w:ascii="Verdana" w:hAnsi="Verdana" w:cs="Myriad Pro"/>
          <w:i/>
          <w:sz w:val="24"/>
          <w:szCs w:val="24"/>
        </w:rPr>
        <w:t>.</w:t>
      </w:r>
    </w:p>
    <w:sectPr w:rsidR="00D91D92" w:rsidRPr="0007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98" w:rsidRDefault="00EC4E98" w:rsidP="00103039">
      <w:pPr>
        <w:spacing w:after="0" w:line="240" w:lineRule="auto"/>
      </w:pPr>
      <w:r>
        <w:separator/>
      </w:r>
    </w:p>
  </w:endnote>
  <w:endnote w:type="continuationSeparator" w:id="0">
    <w:p w:rsidR="00EC4E98" w:rsidRDefault="00EC4E98" w:rsidP="0010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30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1BA" w:rsidRDefault="007431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0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1BA" w:rsidRDefault="00743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98" w:rsidRDefault="00EC4E98" w:rsidP="00103039">
      <w:pPr>
        <w:spacing w:after="0" w:line="240" w:lineRule="auto"/>
      </w:pPr>
      <w:r>
        <w:separator/>
      </w:r>
    </w:p>
  </w:footnote>
  <w:footnote w:type="continuationSeparator" w:id="0">
    <w:p w:rsidR="00EC4E98" w:rsidRDefault="00EC4E98" w:rsidP="0010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39" w:rsidRDefault="00103039" w:rsidP="00CE590B">
    <w:pPr>
      <w:pStyle w:val="Header"/>
      <w:tabs>
        <w:tab w:val="clear" w:pos="9360"/>
        <w:tab w:val="right" w:pos="9270"/>
      </w:tabs>
      <w:ind w:right="180"/>
      <w:jc w:val="right"/>
    </w:pPr>
    <w:r w:rsidRPr="003C6DFC">
      <w:rPr>
        <w:noProof/>
      </w:rPr>
      <w:drawing>
        <wp:inline distT="0" distB="0" distL="0" distR="0" wp14:anchorId="404A8307" wp14:editId="0591810F">
          <wp:extent cx="5943600" cy="749300"/>
          <wp:effectExtent l="0" t="0" r="0" b="0"/>
          <wp:docPr id="2" name="Picture 2" descr="Logo of the Assistive Technology Act Technical Assistance &amp; Training (AT3) Center" title="AT3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e\Pictures\AT3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03"/>
                  <a:stretch/>
                </pic:blipFill>
                <pic:spPr bwMode="auto">
                  <a:xfrm>
                    <a:off x="0" y="0"/>
                    <a:ext cx="5943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hyperlink r:id="rId2" w:history="1">
      <w:r w:rsidR="00291763" w:rsidRPr="006C76A5">
        <w:rPr>
          <w:rStyle w:val="Hyperlink"/>
        </w:rPr>
        <w:t>www.AT3Center.net</w:t>
      </w:r>
    </w:hyperlink>
  </w:p>
  <w:p w:rsidR="00103039" w:rsidRDefault="00103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F52"/>
    <w:multiLevelType w:val="hybridMultilevel"/>
    <w:tmpl w:val="5574DDDA"/>
    <w:lvl w:ilvl="0" w:tplc="33AE2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D593C"/>
    <w:multiLevelType w:val="hybridMultilevel"/>
    <w:tmpl w:val="BFEEB0BE"/>
    <w:lvl w:ilvl="0" w:tplc="A87E5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E0B32"/>
    <w:multiLevelType w:val="hybridMultilevel"/>
    <w:tmpl w:val="9D8A6086"/>
    <w:lvl w:ilvl="0" w:tplc="3D58D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B7209"/>
    <w:multiLevelType w:val="hybridMultilevel"/>
    <w:tmpl w:val="D4CAE3BE"/>
    <w:lvl w:ilvl="0" w:tplc="CE88C186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D881E19"/>
    <w:multiLevelType w:val="hybridMultilevel"/>
    <w:tmpl w:val="DCA6548C"/>
    <w:lvl w:ilvl="0" w:tplc="A99EA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B1190A"/>
    <w:multiLevelType w:val="hybridMultilevel"/>
    <w:tmpl w:val="65C0D772"/>
    <w:lvl w:ilvl="0" w:tplc="A9C2F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6E1071"/>
    <w:multiLevelType w:val="hybridMultilevel"/>
    <w:tmpl w:val="B3FC8322"/>
    <w:lvl w:ilvl="0" w:tplc="68D05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A01622"/>
    <w:multiLevelType w:val="hybridMultilevel"/>
    <w:tmpl w:val="91120804"/>
    <w:lvl w:ilvl="0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D92CB0"/>
    <w:multiLevelType w:val="hybridMultilevel"/>
    <w:tmpl w:val="79784BEA"/>
    <w:lvl w:ilvl="0" w:tplc="5F3E6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DB7CC6"/>
    <w:multiLevelType w:val="hybridMultilevel"/>
    <w:tmpl w:val="B47A5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227DC"/>
    <w:multiLevelType w:val="hybridMultilevel"/>
    <w:tmpl w:val="ADB80E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34119"/>
    <w:multiLevelType w:val="hybridMultilevel"/>
    <w:tmpl w:val="2D6607D0"/>
    <w:lvl w:ilvl="0" w:tplc="33A4A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476D4"/>
    <w:multiLevelType w:val="hybridMultilevel"/>
    <w:tmpl w:val="56BE2566"/>
    <w:lvl w:ilvl="0" w:tplc="9408A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9E7270"/>
    <w:multiLevelType w:val="hybridMultilevel"/>
    <w:tmpl w:val="EBE09C10"/>
    <w:lvl w:ilvl="0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1A51BB"/>
    <w:multiLevelType w:val="hybridMultilevel"/>
    <w:tmpl w:val="7E88C38C"/>
    <w:lvl w:ilvl="0" w:tplc="FA147D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AA4BA3"/>
    <w:multiLevelType w:val="hybridMultilevel"/>
    <w:tmpl w:val="90603844"/>
    <w:lvl w:ilvl="0" w:tplc="33A4A2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D94751"/>
    <w:multiLevelType w:val="hybridMultilevel"/>
    <w:tmpl w:val="97A05CB6"/>
    <w:lvl w:ilvl="0" w:tplc="C7AE10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14"/>
  </w:num>
  <w:num w:numId="11">
    <w:abstractNumId w:val="12"/>
  </w:num>
  <w:num w:numId="12">
    <w:abstractNumId w:val="2"/>
  </w:num>
  <w:num w:numId="13">
    <w:abstractNumId w:val="8"/>
  </w:num>
  <w:num w:numId="14">
    <w:abstractNumId w:val="4"/>
  </w:num>
  <w:num w:numId="15">
    <w:abstractNumId w:val="1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39"/>
    <w:rsid w:val="000543E3"/>
    <w:rsid w:val="00076135"/>
    <w:rsid w:val="00103039"/>
    <w:rsid w:val="001F58FF"/>
    <w:rsid w:val="0027342F"/>
    <w:rsid w:val="00284593"/>
    <w:rsid w:val="00291763"/>
    <w:rsid w:val="002C2D68"/>
    <w:rsid w:val="002C5657"/>
    <w:rsid w:val="002C7052"/>
    <w:rsid w:val="002C7EE8"/>
    <w:rsid w:val="002E587B"/>
    <w:rsid w:val="003947A3"/>
    <w:rsid w:val="003C5034"/>
    <w:rsid w:val="003C73AB"/>
    <w:rsid w:val="00422628"/>
    <w:rsid w:val="0045003F"/>
    <w:rsid w:val="00494959"/>
    <w:rsid w:val="00563296"/>
    <w:rsid w:val="00581616"/>
    <w:rsid w:val="006642DF"/>
    <w:rsid w:val="006C2041"/>
    <w:rsid w:val="006C76A5"/>
    <w:rsid w:val="006F78DC"/>
    <w:rsid w:val="007431BA"/>
    <w:rsid w:val="00832E82"/>
    <w:rsid w:val="008A185D"/>
    <w:rsid w:val="00934585"/>
    <w:rsid w:val="00935D6B"/>
    <w:rsid w:val="00941A98"/>
    <w:rsid w:val="0094298D"/>
    <w:rsid w:val="00AE25A9"/>
    <w:rsid w:val="00B01890"/>
    <w:rsid w:val="00B06AFC"/>
    <w:rsid w:val="00B2666C"/>
    <w:rsid w:val="00BE4F13"/>
    <w:rsid w:val="00CD3B3E"/>
    <w:rsid w:val="00CE590B"/>
    <w:rsid w:val="00D65391"/>
    <w:rsid w:val="00D91D92"/>
    <w:rsid w:val="00DA61F8"/>
    <w:rsid w:val="00DB4DED"/>
    <w:rsid w:val="00DE1B62"/>
    <w:rsid w:val="00DE2BEE"/>
    <w:rsid w:val="00E1488D"/>
    <w:rsid w:val="00EC4E98"/>
    <w:rsid w:val="00F643FF"/>
    <w:rsid w:val="00F75FEF"/>
    <w:rsid w:val="00F9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FA6643-B2E4-4701-9BC7-5CEB611A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A3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39"/>
  </w:style>
  <w:style w:type="paragraph" w:styleId="Footer">
    <w:name w:val="footer"/>
    <w:basedOn w:val="Normal"/>
    <w:link w:val="FooterChar"/>
    <w:uiPriority w:val="99"/>
    <w:unhideWhenUsed/>
    <w:rsid w:val="001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39"/>
  </w:style>
  <w:style w:type="character" w:styleId="Hyperlink">
    <w:name w:val="Hyperlink"/>
    <w:basedOn w:val="DefaultParagraphFont"/>
    <w:uiPriority w:val="99"/>
    <w:unhideWhenUsed/>
    <w:rsid w:val="006C76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0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47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4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18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C7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t3cen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t3center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5</cp:revision>
  <dcterms:created xsi:type="dcterms:W3CDTF">2018-04-10T14:18:00Z</dcterms:created>
  <dcterms:modified xsi:type="dcterms:W3CDTF">2018-04-11T14:44:00Z</dcterms:modified>
</cp:coreProperties>
</file>