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7A3" w:rsidRPr="000D1B69" w:rsidRDefault="003947A3" w:rsidP="00C24AA0">
      <w:pPr>
        <w:pStyle w:val="Heading1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Demonstrating Assistive Technology for Deaf and Hard of Hearing</w:t>
      </w:r>
    </w:p>
    <w:p w:rsidR="003947A3" w:rsidRPr="000D1B69" w:rsidRDefault="003947A3" w:rsidP="00C24AA0">
      <w:pPr>
        <w:pStyle w:val="Heading2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Knowledge and Skills</w:t>
      </w:r>
    </w:p>
    <w:p w:rsidR="00A03211" w:rsidRDefault="00A03211" w:rsidP="00A03211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947A3" w:rsidRPr="000D1B69" w:rsidRDefault="003947A3" w:rsidP="00703544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Understanding and Defin</w:t>
      </w:r>
      <w:r w:rsidR="002E587B" w:rsidRPr="000D1B69">
        <w:rPr>
          <w:rFonts w:ascii="Verdana" w:hAnsi="Verdana"/>
          <w:sz w:val="24"/>
          <w:szCs w:val="24"/>
        </w:rPr>
        <w:t>ing</w:t>
      </w:r>
      <w:r w:rsidRPr="000D1B69">
        <w:rPr>
          <w:rFonts w:ascii="Verdana" w:hAnsi="Verdana"/>
          <w:sz w:val="24"/>
          <w:szCs w:val="24"/>
        </w:rPr>
        <w:t xml:space="preserve"> Hearing Loss</w:t>
      </w:r>
    </w:p>
    <w:p w:rsidR="003947A3" w:rsidRPr="000D1B69" w:rsidRDefault="003947A3" w:rsidP="00703544">
      <w:pPr>
        <w:pStyle w:val="ListParagraph"/>
        <w:numPr>
          <w:ilvl w:val="0"/>
          <w:numId w:val="1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Hearing loss</w:t>
      </w:r>
    </w:p>
    <w:p w:rsidR="003947A3" w:rsidRPr="000D1B69" w:rsidRDefault="003947A3" w:rsidP="0018762F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Sensorineural Hearing Loss</w:t>
      </w:r>
    </w:p>
    <w:p w:rsidR="003947A3" w:rsidRPr="000D1B69" w:rsidRDefault="003947A3" w:rsidP="0018762F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Conductive Hearing Loss</w:t>
      </w:r>
    </w:p>
    <w:p w:rsidR="00744565" w:rsidRPr="000D1B69" w:rsidRDefault="00744565" w:rsidP="0018762F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Congenital/pre-linguistic onset</w:t>
      </w:r>
    </w:p>
    <w:p w:rsidR="00744565" w:rsidRPr="000D1B69" w:rsidRDefault="00744565" w:rsidP="0018762F">
      <w:pPr>
        <w:pStyle w:val="ListParagraph"/>
        <w:numPr>
          <w:ilvl w:val="1"/>
          <w:numId w:val="1"/>
        </w:numPr>
        <w:ind w:left="108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Acquired (including age-related)</w:t>
      </w:r>
    </w:p>
    <w:p w:rsidR="003947A3" w:rsidRPr="000D1B69" w:rsidRDefault="003947A3" w:rsidP="00703544">
      <w:pPr>
        <w:pStyle w:val="ListParagraph"/>
        <w:numPr>
          <w:ilvl w:val="0"/>
          <w:numId w:val="1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Hard of Hearing (HOH)</w:t>
      </w:r>
    </w:p>
    <w:p w:rsidR="003947A3" w:rsidRPr="000D1B69" w:rsidRDefault="003947A3" w:rsidP="00703544">
      <w:pPr>
        <w:pStyle w:val="ListParagraph"/>
        <w:numPr>
          <w:ilvl w:val="0"/>
          <w:numId w:val="1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Deaf</w:t>
      </w:r>
    </w:p>
    <w:p w:rsidR="003947A3" w:rsidRPr="000D1B69" w:rsidRDefault="003947A3" w:rsidP="00703544">
      <w:pPr>
        <w:pStyle w:val="ListParagraph"/>
        <w:numPr>
          <w:ilvl w:val="0"/>
          <w:numId w:val="1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Deaf/Blind</w:t>
      </w:r>
    </w:p>
    <w:p w:rsidR="003947A3" w:rsidRPr="000D1B69" w:rsidRDefault="003947A3" w:rsidP="003947A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703544" w:rsidRDefault="003947A3" w:rsidP="00703544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Identify Assistive Technology for Deaf and HOH in the following categories</w:t>
      </w:r>
    </w:p>
    <w:p w:rsidR="00703544" w:rsidRDefault="00703544" w:rsidP="00703544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3947A3" w:rsidRPr="00703544" w:rsidRDefault="003947A3" w:rsidP="0018762F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703544">
        <w:rPr>
          <w:rFonts w:ascii="Verdana" w:hAnsi="Verdana"/>
          <w:sz w:val="24"/>
          <w:szCs w:val="24"/>
        </w:rPr>
        <w:t>Face-to-face communication</w:t>
      </w:r>
    </w:p>
    <w:p w:rsidR="003947A3" w:rsidRPr="00703544" w:rsidRDefault="003947A3" w:rsidP="00703544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703544">
        <w:rPr>
          <w:rFonts w:ascii="Verdana" w:hAnsi="Verdana"/>
          <w:sz w:val="24"/>
          <w:szCs w:val="24"/>
        </w:rPr>
        <w:t>Small/Large group communication</w:t>
      </w:r>
    </w:p>
    <w:p w:rsidR="003947A3" w:rsidRPr="00703544" w:rsidRDefault="003947A3" w:rsidP="00703544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703544">
        <w:rPr>
          <w:rFonts w:ascii="Verdana" w:hAnsi="Verdana"/>
          <w:sz w:val="24"/>
          <w:szCs w:val="24"/>
        </w:rPr>
        <w:t>Environmental Considerations</w:t>
      </w:r>
    </w:p>
    <w:p w:rsidR="003947A3" w:rsidRPr="00703544" w:rsidRDefault="003947A3" w:rsidP="00703544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703544">
        <w:rPr>
          <w:rFonts w:ascii="Verdana" w:hAnsi="Verdana"/>
          <w:sz w:val="24"/>
          <w:szCs w:val="24"/>
        </w:rPr>
        <w:t>Distance communication (telephone, conference calls, on-line meetings)</w:t>
      </w:r>
    </w:p>
    <w:p w:rsidR="00A03211" w:rsidRPr="00703544" w:rsidRDefault="003947A3" w:rsidP="00703544">
      <w:pPr>
        <w:pStyle w:val="ListParagraph"/>
        <w:numPr>
          <w:ilvl w:val="0"/>
          <w:numId w:val="11"/>
        </w:numPr>
        <w:rPr>
          <w:rFonts w:ascii="Verdana" w:hAnsi="Verdana"/>
          <w:sz w:val="24"/>
          <w:szCs w:val="24"/>
        </w:rPr>
      </w:pPr>
      <w:r w:rsidRPr="00703544">
        <w:rPr>
          <w:rFonts w:ascii="Verdana" w:hAnsi="Verdana"/>
          <w:sz w:val="24"/>
          <w:szCs w:val="24"/>
        </w:rPr>
        <w:t>Vibrating and flashing alerts (Phone, Signaling, Fire, etc.)</w:t>
      </w:r>
    </w:p>
    <w:p w:rsidR="00A03211" w:rsidRDefault="00A03211" w:rsidP="00A03211">
      <w:pPr>
        <w:pStyle w:val="ListParagraph"/>
        <w:rPr>
          <w:rFonts w:ascii="Verdana" w:hAnsi="Verdana"/>
          <w:sz w:val="24"/>
          <w:szCs w:val="24"/>
        </w:rPr>
      </w:pPr>
    </w:p>
    <w:p w:rsidR="003947A3" w:rsidRPr="00A03211" w:rsidRDefault="003947A3" w:rsidP="00703544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Understand and explain vocabulary related to specific devices, features, and functions</w:t>
      </w:r>
    </w:p>
    <w:p w:rsidR="003947A3" w:rsidRPr="00A03211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Assistive Listening Device</w:t>
      </w:r>
    </w:p>
    <w:p w:rsidR="003947A3" w:rsidRPr="00A03211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FM System</w:t>
      </w:r>
    </w:p>
    <w:p w:rsidR="005D159E" w:rsidRPr="00A03211" w:rsidRDefault="005D159E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Infrared System</w:t>
      </w:r>
    </w:p>
    <w:p w:rsidR="00744565" w:rsidRPr="00A03211" w:rsidRDefault="00744565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Loop Systems</w:t>
      </w:r>
    </w:p>
    <w:p w:rsidR="003947A3" w:rsidRPr="00A03211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Hearing Aid</w:t>
      </w:r>
    </w:p>
    <w:p w:rsidR="003947A3" w:rsidRPr="00A03211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Amplification</w:t>
      </w:r>
    </w:p>
    <w:p w:rsidR="003947A3" w:rsidRPr="00A03211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Video Captioning (Open / Closed)</w:t>
      </w:r>
    </w:p>
    <w:p w:rsidR="003947A3" w:rsidRPr="00A03211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Communication Access Realtime Translation (CART)</w:t>
      </w:r>
    </w:p>
    <w:p w:rsidR="00703544" w:rsidRDefault="003947A3" w:rsidP="00703544">
      <w:pPr>
        <w:pStyle w:val="ListParagraph"/>
        <w:numPr>
          <w:ilvl w:val="0"/>
          <w:numId w:val="9"/>
        </w:numPr>
        <w:ind w:left="72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Mono vs. Stereo Audio</w:t>
      </w:r>
    </w:p>
    <w:p w:rsidR="003947A3" w:rsidRPr="00703544" w:rsidRDefault="003947A3" w:rsidP="000E6C56">
      <w:pPr>
        <w:pStyle w:val="ListParagraph"/>
        <w:numPr>
          <w:ilvl w:val="0"/>
          <w:numId w:val="9"/>
        </w:numPr>
        <w:spacing w:after="0"/>
        <w:ind w:left="576"/>
        <w:rPr>
          <w:rFonts w:ascii="Verdana" w:hAnsi="Verdana"/>
          <w:sz w:val="24"/>
          <w:szCs w:val="24"/>
        </w:rPr>
      </w:pPr>
      <w:r w:rsidRPr="00703544">
        <w:rPr>
          <w:rFonts w:ascii="Verdana" w:hAnsi="Verdana"/>
          <w:sz w:val="24"/>
          <w:szCs w:val="24"/>
        </w:rPr>
        <w:t>Telecommunications Relay Services (TRS)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Video Relay Services (VRS)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Voice Carry Over (VCO)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 xml:space="preserve">Hearing Carry Over 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American Sign Language (ASL)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Sign Language Interpreters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Video Remote Interpreting Services (VRI)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Computer Access Devices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Mobile Device Access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Telecoil</w:t>
      </w:r>
    </w:p>
    <w:p w:rsidR="003947A3" w:rsidRPr="00A03211" w:rsidRDefault="003947A3" w:rsidP="000E6C56">
      <w:pPr>
        <w:pStyle w:val="ListParagraph"/>
        <w:numPr>
          <w:ilvl w:val="0"/>
          <w:numId w:val="9"/>
        </w:numPr>
        <w:ind w:left="576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Bluetooth</w:t>
      </w:r>
    </w:p>
    <w:p w:rsidR="003947A3" w:rsidRPr="000D1B69" w:rsidRDefault="003947A3" w:rsidP="003947A3">
      <w:pPr>
        <w:pStyle w:val="ListParagraph"/>
        <w:ind w:left="1440"/>
        <w:rPr>
          <w:rFonts w:ascii="Verdana" w:hAnsi="Verdana"/>
          <w:sz w:val="24"/>
          <w:szCs w:val="24"/>
        </w:rPr>
      </w:pPr>
    </w:p>
    <w:p w:rsidR="003947A3" w:rsidRPr="000D1B69" w:rsidRDefault="003947A3" w:rsidP="00703544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Able to compare and contrast at least three products in each subcategory, including multiple/diverse manufacturers</w:t>
      </w:r>
    </w:p>
    <w:p w:rsidR="003947A3" w:rsidRPr="00A03211" w:rsidRDefault="003947A3" w:rsidP="00703544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Assistive Listening Device or System</w:t>
      </w:r>
    </w:p>
    <w:p w:rsidR="003947A3" w:rsidRPr="00A03211" w:rsidRDefault="003947A3" w:rsidP="00703544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Amplification/Clarity Technology</w:t>
      </w:r>
    </w:p>
    <w:p w:rsidR="003947A3" w:rsidRPr="00A03211" w:rsidRDefault="003947A3" w:rsidP="00703544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Alerting Device</w:t>
      </w:r>
    </w:p>
    <w:p w:rsidR="003947A3" w:rsidRPr="00A03211" w:rsidRDefault="003947A3" w:rsidP="0018762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Active Hearing Protection</w:t>
      </w:r>
    </w:p>
    <w:p w:rsidR="003947A3" w:rsidRPr="00A03211" w:rsidRDefault="003947A3" w:rsidP="0018762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Amplified Phone</w:t>
      </w:r>
    </w:p>
    <w:p w:rsidR="003947A3" w:rsidRPr="00A03211" w:rsidRDefault="003947A3" w:rsidP="0018762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Caption Phone</w:t>
      </w:r>
    </w:p>
    <w:p w:rsidR="003947A3" w:rsidRPr="00A03211" w:rsidRDefault="003947A3" w:rsidP="0018762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Communication Access Realtime Translation (CART)</w:t>
      </w:r>
    </w:p>
    <w:p w:rsidR="003947A3" w:rsidRPr="00A03211" w:rsidRDefault="003947A3" w:rsidP="0018762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Text-based communication systems</w:t>
      </w:r>
    </w:p>
    <w:p w:rsidR="003947A3" w:rsidRPr="00A03211" w:rsidRDefault="003947A3" w:rsidP="0018762F">
      <w:pPr>
        <w:pStyle w:val="ListParagraph"/>
        <w:numPr>
          <w:ilvl w:val="0"/>
          <w:numId w:val="10"/>
        </w:numPr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>Video Relay systems/apps</w:t>
      </w:r>
    </w:p>
    <w:p w:rsidR="003947A3" w:rsidRPr="000D1B69" w:rsidRDefault="003947A3" w:rsidP="003947A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947A3" w:rsidRPr="000D1B69" w:rsidRDefault="003947A3" w:rsidP="00703544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Has a basic understanding of potential public funding sources for this technology (e.g. sufficient to make referrals).</w:t>
      </w:r>
    </w:p>
    <w:p w:rsidR="003947A3" w:rsidRPr="000D1B69" w:rsidRDefault="003947A3" w:rsidP="003947A3">
      <w:pPr>
        <w:pStyle w:val="ListParagraph"/>
        <w:ind w:left="1080"/>
        <w:rPr>
          <w:rFonts w:ascii="Verdana" w:hAnsi="Verdana"/>
          <w:sz w:val="24"/>
          <w:szCs w:val="24"/>
        </w:rPr>
      </w:pPr>
    </w:p>
    <w:p w:rsidR="003947A3" w:rsidRPr="00A03211" w:rsidRDefault="003947A3" w:rsidP="00703544">
      <w:pPr>
        <w:pStyle w:val="ListParagraph"/>
        <w:numPr>
          <w:ilvl w:val="0"/>
          <w:numId w:val="8"/>
        </w:numPr>
        <w:ind w:left="360"/>
        <w:rPr>
          <w:rFonts w:ascii="Verdana" w:hAnsi="Verdana"/>
          <w:sz w:val="24"/>
          <w:szCs w:val="24"/>
        </w:rPr>
      </w:pPr>
      <w:r w:rsidRPr="00A03211">
        <w:rPr>
          <w:rFonts w:ascii="Verdana" w:hAnsi="Verdana"/>
          <w:sz w:val="24"/>
          <w:szCs w:val="24"/>
        </w:rPr>
        <w:t xml:space="preserve">Resources for gaining additional information on this topic:  </w:t>
      </w:r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ATIA webinars (</w:t>
      </w:r>
      <w:hyperlink r:id="rId7" w:history="1">
        <w:r w:rsidRPr="000D1B69">
          <w:rPr>
            <w:rStyle w:val="Hyperlink"/>
            <w:rFonts w:ascii="Verdana" w:hAnsi="Verdana"/>
            <w:sz w:val="24"/>
            <w:szCs w:val="24"/>
          </w:rPr>
          <w:t>www.atia.org</w:t>
        </w:r>
      </w:hyperlink>
      <w:r w:rsidRPr="000D1B69">
        <w:rPr>
          <w:rFonts w:ascii="Verdana" w:hAnsi="Verdana"/>
          <w:sz w:val="24"/>
          <w:szCs w:val="24"/>
        </w:rPr>
        <w:t>)</w:t>
      </w:r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Job Accommodation Network (</w:t>
      </w:r>
      <w:hyperlink r:id="rId8" w:history="1">
        <w:r w:rsidRPr="000D1B69">
          <w:rPr>
            <w:rStyle w:val="Hyperlink"/>
            <w:rFonts w:ascii="Verdana" w:hAnsi="Verdana"/>
            <w:sz w:val="24"/>
            <w:szCs w:val="24"/>
          </w:rPr>
          <w:t>www.jan.wvu.edu)</w:t>
        </w:r>
      </w:hyperlink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Alexander Graham Bell Association for the Deaf and Hard of Hearing (</w:t>
      </w:r>
      <w:hyperlink r:id="rId9" w:history="1">
        <w:r w:rsidRPr="000D1B69">
          <w:rPr>
            <w:rStyle w:val="Hyperlink"/>
            <w:rFonts w:ascii="Verdana" w:hAnsi="Verdana"/>
            <w:sz w:val="24"/>
            <w:szCs w:val="24"/>
          </w:rPr>
          <w:t>http://nc.agbell.org</w:t>
        </w:r>
      </w:hyperlink>
      <w:r w:rsidRPr="000D1B69">
        <w:rPr>
          <w:rFonts w:ascii="Verdana" w:hAnsi="Verdana"/>
          <w:sz w:val="24"/>
          <w:szCs w:val="24"/>
        </w:rPr>
        <w:t>)</w:t>
      </w:r>
      <w:r w:rsidRPr="000D1B69">
        <w:rPr>
          <w:rFonts w:ascii="Verdana" w:eastAsia="Times New Roman" w:hAnsi="Verdana"/>
          <w:sz w:val="24"/>
          <w:szCs w:val="24"/>
        </w:rPr>
        <w:t xml:space="preserve"> </w:t>
      </w:r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Harris Communications (</w:t>
      </w:r>
      <w:hyperlink r:id="rId10" w:history="1">
        <w:r w:rsidRPr="000D1B69">
          <w:rPr>
            <w:rStyle w:val="Hyperlink"/>
            <w:rFonts w:ascii="Verdana" w:hAnsi="Verdana"/>
            <w:sz w:val="24"/>
            <w:szCs w:val="24"/>
          </w:rPr>
          <w:t>http://www.harriscomm.com/</w:t>
        </w:r>
      </w:hyperlink>
      <w:r w:rsidRPr="000D1B69">
        <w:rPr>
          <w:rFonts w:ascii="Verdana" w:hAnsi="Verdana"/>
          <w:sz w:val="24"/>
          <w:szCs w:val="24"/>
        </w:rPr>
        <w:t>)</w:t>
      </w:r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National Institute on Deafness and Other Communication Disorders (</w:t>
      </w:r>
      <w:hyperlink r:id="rId11" w:history="1">
        <w:r w:rsidRPr="000D1B69">
          <w:rPr>
            <w:rStyle w:val="Hyperlink"/>
            <w:rFonts w:ascii="Verdana" w:hAnsi="Verdana"/>
            <w:sz w:val="24"/>
            <w:szCs w:val="24"/>
          </w:rPr>
          <w:t>https://www.nidcd.nih.gov/health/assistive-devices-people-hearing-voice-speech-or-language-disorders)</w:t>
        </w:r>
      </w:hyperlink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Laurent CLERC National Deaf Education Center (</w:t>
      </w:r>
      <w:hyperlink r:id="rId12" w:history="1">
        <w:r w:rsidRPr="000D1B69">
          <w:rPr>
            <w:rStyle w:val="Hyperlink"/>
            <w:rFonts w:ascii="Verdana" w:hAnsi="Verdana"/>
            <w:sz w:val="24"/>
            <w:szCs w:val="24"/>
          </w:rPr>
          <w:t>http://www3.gallaudet.edu/clerc-center.html</w:t>
        </w:r>
      </w:hyperlink>
      <w:r w:rsidRPr="000D1B69">
        <w:rPr>
          <w:rFonts w:ascii="Verdana" w:hAnsi="Verdana"/>
          <w:sz w:val="24"/>
          <w:szCs w:val="24"/>
        </w:rPr>
        <w:t>)</w:t>
      </w:r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/>
          <w:sz w:val="24"/>
          <w:szCs w:val="24"/>
        </w:rPr>
        <w:t>Hearing Loss Association of America (</w:t>
      </w:r>
      <w:hyperlink r:id="rId13" w:history="1">
        <w:r w:rsidRPr="000D1B69">
          <w:rPr>
            <w:rStyle w:val="Hyperlink"/>
            <w:rFonts w:ascii="Verdana" w:hAnsi="Verdana"/>
            <w:sz w:val="24"/>
            <w:szCs w:val="24"/>
          </w:rPr>
          <w:t>http://hearingloss.org/</w:t>
        </w:r>
      </w:hyperlink>
      <w:r w:rsidRPr="000D1B69">
        <w:rPr>
          <w:rFonts w:ascii="Verdana" w:hAnsi="Verdana"/>
          <w:sz w:val="24"/>
          <w:szCs w:val="24"/>
        </w:rPr>
        <w:t xml:space="preserve">), especially their </w:t>
      </w:r>
      <w:r w:rsidRPr="000D1B69">
        <w:rPr>
          <w:rFonts w:ascii="Verdana" w:hAnsi="Verdana" w:cs="Arial"/>
          <w:sz w:val="24"/>
          <w:szCs w:val="24"/>
          <w:lang w:val="en"/>
        </w:rPr>
        <w:t>Hearing Loss Support Specialist Training (HLSST).</w:t>
      </w:r>
    </w:p>
    <w:p w:rsidR="003947A3" w:rsidRPr="000D1B69" w:rsidRDefault="003947A3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 w:cs="Arial"/>
          <w:sz w:val="24"/>
          <w:szCs w:val="24"/>
          <w:lang w:val="en"/>
        </w:rPr>
        <w:t>American Speech-Language-Hearing Association (ASHA) (</w:t>
      </w:r>
      <w:hyperlink r:id="rId14" w:history="1">
        <w:r w:rsidRPr="000D1B69">
          <w:rPr>
            <w:rStyle w:val="Hyperlink"/>
            <w:rFonts w:ascii="Verdana" w:hAnsi="Verdana" w:cs="Arial"/>
            <w:sz w:val="24"/>
            <w:szCs w:val="24"/>
            <w:lang w:val="en"/>
          </w:rPr>
          <w:t>http://www.asha.org/Practice-Portal/Clinical-Topics/Hearing-Loss/</w:t>
        </w:r>
      </w:hyperlink>
      <w:r w:rsidRPr="000D1B69">
        <w:rPr>
          <w:rFonts w:ascii="Verdana" w:hAnsi="Verdana" w:cs="Arial"/>
          <w:sz w:val="24"/>
          <w:szCs w:val="24"/>
          <w:lang w:val="en"/>
        </w:rPr>
        <w:t>)</w:t>
      </w:r>
    </w:p>
    <w:p w:rsidR="000543E3" w:rsidRPr="000D1B69" w:rsidRDefault="00B01890" w:rsidP="0018762F">
      <w:pPr>
        <w:pStyle w:val="ListParagraph"/>
        <w:numPr>
          <w:ilvl w:val="0"/>
          <w:numId w:val="3"/>
        </w:numPr>
        <w:ind w:left="720"/>
        <w:rPr>
          <w:rFonts w:ascii="Verdana" w:hAnsi="Verdana"/>
          <w:sz w:val="24"/>
          <w:szCs w:val="24"/>
        </w:rPr>
      </w:pPr>
      <w:r w:rsidRPr="000D1B69">
        <w:rPr>
          <w:rFonts w:ascii="Verdana" w:hAnsi="Verdana" w:cs="Arial"/>
          <w:sz w:val="24"/>
          <w:szCs w:val="24"/>
          <w:lang w:val="en"/>
        </w:rPr>
        <w:t>National Deaf Center on Postsecondary Outcomes (</w:t>
      </w:r>
      <w:hyperlink r:id="rId15" w:history="1">
        <w:r w:rsidRPr="000D1B69">
          <w:rPr>
            <w:rStyle w:val="Hyperlink"/>
            <w:rFonts w:ascii="Verdana" w:hAnsi="Verdana" w:cs="Arial"/>
            <w:sz w:val="24"/>
            <w:szCs w:val="24"/>
            <w:lang w:val="en"/>
          </w:rPr>
          <w:t>https://www.nationaldeafcenter.org/resources</w:t>
        </w:r>
      </w:hyperlink>
      <w:r w:rsidRPr="000D1B69">
        <w:rPr>
          <w:rFonts w:ascii="Verdana" w:hAnsi="Verdana" w:cs="Arial"/>
          <w:sz w:val="24"/>
          <w:szCs w:val="24"/>
          <w:lang w:val="en"/>
        </w:rPr>
        <w:t>)</w:t>
      </w:r>
      <w:r w:rsidR="00DE2BEE" w:rsidRPr="000D1B69">
        <w:rPr>
          <w:rFonts w:ascii="Verdana" w:hAnsi="Verdana"/>
          <w:sz w:val="24"/>
          <w:szCs w:val="24"/>
        </w:rPr>
        <w:t xml:space="preserve"> </w:t>
      </w:r>
    </w:p>
    <w:p w:rsidR="00D91D92" w:rsidRPr="000D1B69" w:rsidRDefault="00D91D92" w:rsidP="00D91D92">
      <w:pPr>
        <w:rPr>
          <w:rFonts w:ascii="Verdana" w:hAnsi="Verdana"/>
          <w:sz w:val="24"/>
          <w:szCs w:val="24"/>
        </w:rPr>
      </w:pPr>
    </w:p>
    <w:p w:rsidR="00D91D92" w:rsidRPr="000D1B69" w:rsidRDefault="00D91D92" w:rsidP="00581616">
      <w:pPr>
        <w:spacing w:after="0" w:line="240" w:lineRule="auto"/>
        <w:rPr>
          <w:rFonts w:ascii="Verdana" w:hAnsi="Verdana"/>
          <w:sz w:val="18"/>
          <w:szCs w:val="18"/>
        </w:rPr>
      </w:pPr>
      <w:r w:rsidRPr="000D1B69">
        <w:rPr>
          <w:rFonts w:ascii="Verdana" w:hAnsi="Verdana" w:cs="Myriad Pro"/>
          <w:i/>
          <w:color w:val="000000"/>
          <w:sz w:val="18"/>
          <w:szCs w:val="18"/>
        </w:rPr>
        <w:t>This</w:t>
      </w:r>
      <w:r w:rsidR="00581616" w:rsidRPr="000D1B69">
        <w:rPr>
          <w:rFonts w:ascii="Verdana" w:hAnsi="Verdana" w:cs="Myriad Pro"/>
          <w:i/>
          <w:color w:val="000000"/>
          <w:sz w:val="18"/>
          <w:szCs w:val="18"/>
        </w:rPr>
        <w:t xml:space="preserve"> </w:t>
      </w:r>
      <w:r w:rsidRPr="000D1B69">
        <w:rPr>
          <w:rFonts w:ascii="Verdana" w:hAnsi="Verdana" w:cs="Myriad Pro"/>
          <w:i/>
          <w:color w:val="000000"/>
          <w:sz w:val="18"/>
          <w:szCs w:val="18"/>
        </w:rPr>
        <w:t xml:space="preserve">document was developed and produced by the </w:t>
      </w:r>
      <w:hyperlink r:id="rId16" w:history="1">
        <w:r w:rsidRPr="000D1B69">
          <w:rPr>
            <w:rFonts w:ascii="Verdana" w:hAnsi="Verdana" w:cs="Myriad Pro"/>
            <w:i/>
            <w:color w:val="0563C1" w:themeColor="hyperlink"/>
            <w:sz w:val="18"/>
            <w:szCs w:val="18"/>
            <w:u w:val="single"/>
          </w:rPr>
          <w:t>Assistive Technology Act Technical Assistance and Training (AT3) Center</w:t>
        </w:r>
      </w:hyperlink>
      <w:r w:rsidRPr="000D1B69">
        <w:rPr>
          <w:rFonts w:ascii="Verdana" w:hAnsi="Verdana" w:cs="Myriad Pro"/>
          <w:i/>
          <w:color w:val="000000"/>
          <w:sz w:val="18"/>
          <w:szCs w:val="18"/>
        </w:rPr>
        <w:t xml:space="preserve"> funded by Grant #90ATTA0001-01-00 from the Administration for Community Living (ACL). Any opinions reflected herein are solely the responsibility of the authors and do not necessarily represent the official views of ACL. Last updated </w:t>
      </w:r>
      <w:r w:rsidR="00866DE0" w:rsidRPr="000D1B69">
        <w:rPr>
          <w:rFonts w:ascii="Verdana" w:hAnsi="Verdana" w:cs="Myriad Pro"/>
          <w:i/>
          <w:color w:val="000000"/>
          <w:sz w:val="18"/>
          <w:szCs w:val="18"/>
        </w:rPr>
        <w:t>April</w:t>
      </w:r>
      <w:r w:rsidRPr="000D1B69">
        <w:rPr>
          <w:rFonts w:ascii="Verdana" w:hAnsi="Verdana" w:cs="Myriad Pro"/>
          <w:i/>
          <w:sz w:val="18"/>
          <w:szCs w:val="18"/>
        </w:rPr>
        <w:t xml:space="preserve"> 2018</w:t>
      </w:r>
      <w:r w:rsidR="00581616" w:rsidRPr="000D1B69">
        <w:rPr>
          <w:rFonts w:ascii="Verdana" w:hAnsi="Verdana" w:cs="Myriad Pro"/>
          <w:i/>
          <w:sz w:val="18"/>
          <w:szCs w:val="18"/>
        </w:rPr>
        <w:t>.</w:t>
      </w:r>
    </w:p>
    <w:sectPr w:rsidR="00D91D92" w:rsidRPr="000D1B69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9A3" w:rsidRDefault="00AC59A3" w:rsidP="00103039">
      <w:pPr>
        <w:spacing w:after="0" w:line="240" w:lineRule="auto"/>
      </w:pPr>
      <w:r>
        <w:separator/>
      </w:r>
    </w:p>
  </w:endnote>
  <w:endnote w:type="continuationSeparator" w:id="0">
    <w:p w:rsidR="00AC59A3" w:rsidRDefault="00AC59A3" w:rsidP="0010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8307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1BA" w:rsidRDefault="007431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A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31BA" w:rsidRDefault="007431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9A3" w:rsidRDefault="00AC59A3" w:rsidP="00103039">
      <w:pPr>
        <w:spacing w:after="0" w:line="240" w:lineRule="auto"/>
      </w:pPr>
      <w:r>
        <w:separator/>
      </w:r>
    </w:p>
  </w:footnote>
  <w:footnote w:type="continuationSeparator" w:id="0">
    <w:p w:rsidR="00AC59A3" w:rsidRDefault="00AC59A3" w:rsidP="0010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039" w:rsidRDefault="00103039" w:rsidP="00CE590B">
    <w:pPr>
      <w:pStyle w:val="Header"/>
      <w:tabs>
        <w:tab w:val="clear" w:pos="9360"/>
        <w:tab w:val="right" w:pos="9270"/>
      </w:tabs>
      <w:ind w:right="180"/>
      <w:jc w:val="right"/>
    </w:pPr>
    <w:r w:rsidRPr="003C6DFC">
      <w:rPr>
        <w:noProof/>
      </w:rPr>
      <w:drawing>
        <wp:inline distT="0" distB="0" distL="0" distR="0" wp14:anchorId="404A8307" wp14:editId="0591810F">
          <wp:extent cx="5943600" cy="749300"/>
          <wp:effectExtent l="0" t="0" r="0" b="0"/>
          <wp:docPr id="2" name="Picture 2" descr="Logo of the Assistive Technology Act Technical Assistance &amp; Training (AT3) Center" title="AT3 Cent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e\Pictures\AT3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03"/>
                  <a:stretch/>
                </pic:blipFill>
                <pic:spPr bwMode="auto">
                  <a:xfrm>
                    <a:off x="0" y="0"/>
                    <a:ext cx="59436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hyperlink r:id="rId2" w:history="1">
      <w:r w:rsidR="00291763" w:rsidRPr="006C76A5">
        <w:rPr>
          <w:rStyle w:val="Hyperlink"/>
        </w:rPr>
        <w:t>www.AT3Center.net</w:t>
      </w:r>
    </w:hyperlink>
  </w:p>
  <w:p w:rsidR="00103039" w:rsidRDefault="00103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4DC0"/>
    <w:multiLevelType w:val="hybridMultilevel"/>
    <w:tmpl w:val="24985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F07CE"/>
    <w:multiLevelType w:val="hybridMultilevel"/>
    <w:tmpl w:val="E6BEA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E1071"/>
    <w:multiLevelType w:val="hybridMultilevel"/>
    <w:tmpl w:val="B3FC8322"/>
    <w:lvl w:ilvl="0" w:tplc="68D05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01622"/>
    <w:multiLevelType w:val="hybridMultilevel"/>
    <w:tmpl w:val="91120804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9520C8"/>
    <w:multiLevelType w:val="hybridMultilevel"/>
    <w:tmpl w:val="BF1067C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5227DC"/>
    <w:multiLevelType w:val="hybridMultilevel"/>
    <w:tmpl w:val="ADB80EE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A34119"/>
    <w:multiLevelType w:val="hybridMultilevel"/>
    <w:tmpl w:val="2D6607D0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9E7270"/>
    <w:multiLevelType w:val="hybridMultilevel"/>
    <w:tmpl w:val="EBE09C10"/>
    <w:lvl w:ilvl="0" w:tplc="FE5000A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1AA4BA3"/>
    <w:multiLevelType w:val="hybridMultilevel"/>
    <w:tmpl w:val="90603844"/>
    <w:lvl w:ilvl="0" w:tplc="33A4A2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005FC"/>
    <w:multiLevelType w:val="hybridMultilevel"/>
    <w:tmpl w:val="A614CEF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DDA63E6"/>
    <w:multiLevelType w:val="hybridMultilevel"/>
    <w:tmpl w:val="7AA20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39"/>
    <w:rsid w:val="000543E3"/>
    <w:rsid w:val="000D1B69"/>
    <w:rsid w:val="000E6C56"/>
    <w:rsid w:val="00103039"/>
    <w:rsid w:val="0014216F"/>
    <w:rsid w:val="0018762F"/>
    <w:rsid w:val="00291763"/>
    <w:rsid w:val="002C2D68"/>
    <w:rsid w:val="002C7052"/>
    <w:rsid w:val="002E587B"/>
    <w:rsid w:val="003947A3"/>
    <w:rsid w:val="003C5034"/>
    <w:rsid w:val="003C52F7"/>
    <w:rsid w:val="004B082D"/>
    <w:rsid w:val="00581616"/>
    <w:rsid w:val="005C284D"/>
    <w:rsid w:val="005D159E"/>
    <w:rsid w:val="00620AC9"/>
    <w:rsid w:val="006C76A5"/>
    <w:rsid w:val="00703544"/>
    <w:rsid w:val="007431BA"/>
    <w:rsid w:val="00744565"/>
    <w:rsid w:val="00866DE0"/>
    <w:rsid w:val="008A69B8"/>
    <w:rsid w:val="00A03211"/>
    <w:rsid w:val="00A34E1B"/>
    <w:rsid w:val="00AC59A3"/>
    <w:rsid w:val="00B01890"/>
    <w:rsid w:val="00B76784"/>
    <w:rsid w:val="00BE4F13"/>
    <w:rsid w:val="00C24AA0"/>
    <w:rsid w:val="00CD3B3E"/>
    <w:rsid w:val="00CE590B"/>
    <w:rsid w:val="00D91D92"/>
    <w:rsid w:val="00DA61F8"/>
    <w:rsid w:val="00DE2BEE"/>
    <w:rsid w:val="00F0694C"/>
    <w:rsid w:val="00F75FEF"/>
    <w:rsid w:val="00F9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A6643-B2E4-4701-9BC7-5CEB611A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7A3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4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39"/>
  </w:style>
  <w:style w:type="paragraph" w:styleId="Footer">
    <w:name w:val="footer"/>
    <w:basedOn w:val="Normal"/>
    <w:link w:val="FooterChar"/>
    <w:uiPriority w:val="99"/>
    <w:unhideWhenUsed/>
    <w:rsid w:val="0010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39"/>
  </w:style>
  <w:style w:type="character" w:styleId="Hyperlink">
    <w:name w:val="Hyperlink"/>
    <w:basedOn w:val="DefaultParagraphFont"/>
    <w:uiPriority w:val="99"/>
    <w:unhideWhenUsed/>
    <w:rsid w:val="006C76A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03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947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4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1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.wvu.edu)" TargetMode="External"/><Relationship Id="rId13" Type="http://schemas.openxmlformats.org/officeDocument/2006/relationships/hyperlink" Target="http://hearingloss.org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tia.org" TargetMode="External"/><Relationship Id="rId12" Type="http://schemas.openxmlformats.org/officeDocument/2006/relationships/hyperlink" Target="http://www3.gallaudet.edu/clerc-center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at3center.ne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dcd.nih.gov/health/assistive-devices-people-hearing-voice-speech-or-language-disorders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ionaldeafcenter.org/resources" TargetMode="External"/><Relationship Id="rId10" Type="http://schemas.openxmlformats.org/officeDocument/2006/relationships/hyperlink" Target="http://www.harriscomm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c.agbell.org" TargetMode="External"/><Relationship Id="rId14" Type="http://schemas.openxmlformats.org/officeDocument/2006/relationships/hyperlink" Target="http://www.asha.org/Practice-Portal/Clinical-Topics/Hearing-Los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t3center.ne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Crystal-IATP</cp:lastModifiedBy>
  <cp:revision>2</cp:revision>
  <dcterms:created xsi:type="dcterms:W3CDTF">2018-04-11T15:32:00Z</dcterms:created>
  <dcterms:modified xsi:type="dcterms:W3CDTF">2018-04-11T15:32:00Z</dcterms:modified>
</cp:coreProperties>
</file>