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A3" w:rsidRPr="00B42144" w:rsidRDefault="003947A3" w:rsidP="00B42144">
      <w:pPr>
        <w:pStyle w:val="Heading1"/>
      </w:pPr>
      <w:r w:rsidRPr="00B42144">
        <w:t xml:space="preserve">Demonstrating Assistive Technology for </w:t>
      </w:r>
      <w:r w:rsidR="00534DF8" w:rsidRPr="00B42144">
        <w:t>AAC</w:t>
      </w:r>
    </w:p>
    <w:p w:rsidR="003947A3" w:rsidRPr="00B42144" w:rsidRDefault="003947A3" w:rsidP="00B42144">
      <w:pPr>
        <w:pStyle w:val="Heading2"/>
      </w:pPr>
      <w:r w:rsidRPr="00B42144">
        <w:t>Knowledge and Skills</w:t>
      </w:r>
    </w:p>
    <w:p w:rsidR="003947A3" w:rsidRPr="00F3555D" w:rsidRDefault="003947A3" w:rsidP="003947A3">
      <w:pPr>
        <w:ind w:left="360"/>
        <w:rPr>
          <w:rFonts w:ascii="Verdana" w:hAnsi="Verdana"/>
          <w:sz w:val="24"/>
          <w:szCs w:val="24"/>
        </w:rPr>
      </w:pPr>
    </w:p>
    <w:p w:rsidR="00BB0BE8" w:rsidRPr="00F3555D" w:rsidRDefault="00BB0BE8" w:rsidP="001E471B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Understands function(s) of the device type</w:t>
      </w:r>
    </w:p>
    <w:p w:rsidR="00BB0BE8" w:rsidRPr="00F3555D" w:rsidRDefault="00BB0BE8" w:rsidP="001E471B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Face-to-face communication</w:t>
      </w:r>
    </w:p>
    <w:p w:rsidR="00BB0BE8" w:rsidRPr="00F3555D" w:rsidRDefault="00BB0BE8" w:rsidP="001E471B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Distance communication (e.g. via telephone)</w:t>
      </w:r>
    </w:p>
    <w:p w:rsidR="00BB0BE8" w:rsidRPr="00F3555D" w:rsidRDefault="00BB0BE8" w:rsidP="001E471B">
      <w:pPr>
        <w:numPr>
          <w:ilvl w:val="0"/>
          <w:numId w:val="12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Multipurpose:  e.g. access to written language via computer interface</w:t>
      </w:r>
    </w:p>
    <w:p w:rsidR="00BB0BE8" w:rsidRPr="00F3555D" w:rsidRDefault="00BB0BE8" w:rsidP="00BB0BE8">
      <w:pPr>
        <w:ind w:left="1440"/>
        <w:contextualSpacing/>
        <w:rPr>
          <w:rFonts w:ascii="Verdana" w:hAnsi="Verdana"/>
          <w:sz w:val="24"/>
          <w:szCs w:val="24"/>
        </w:rPr>
      </w:pPr>
    </w:p>
    <w:p w:rsidR="00BB0BE8" w:rsidRPr="00F3555D" w:rsidRDefault="00BB0BE8" w:rsidP="00BB0BE8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Understands who can benefit, “eligibility” requirements or misconceptions</w:t>
      </w:r>
    </w:p>
    <w:p w:rsidR="00BB0BE8" w:rsidRPr="00F3555D" w:rsidRDefault="00BB0BE8" w:rsidP="001E471B">
      <w:pPr>
        <w:numPr>
          <w:ilvl w:val="0"/>
          <w:numId w:val="1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Familiar with “prerequisite” model and current thinking </w:t>
      </w:r>
      <w:r w:rsidR="00FA50D6">
        <w:rPr>
          <w:rFonts w:ascii="Verdana" w:hAnsi="Verdana"/>
          <w:sz w:val="24"/>
          <w:szCs w:val="24"/>
        </w:rPr>
        <w:t>(no pre-requisites)</w:t>
      </w:r>
    </w:p>
    <w:p w:rsidR="00BB0BE8" w:rsidRPr="00F3555D" w:rsidRDefault="00BB0BE8" w:rsidP="001E471B">
      <w:pPr>
        <w:numPr>
          <w:ilvl w:val="0"/>
          <w:numId w:val="1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Understands the technology as an augmentation (e.g. even for people who “speak”)</w:t>
      </w:r>
    </w:p>
    <w:p w:rsidR="00FA50D6" w:rsidRPr="00FA50D6" w:rsidRDefault="00BB0BE8" w:rsidP="001E471B">
      <w:pPr>
        <w:numPr>
          <w:ilvl w:val="0"/>
          <w:numId w:val="1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Understands use of the device with individuals with developmental (</w:t>
      </w:r>
      <w:r w:rsidR="000341B1">
        <w:rPr>
          <w:rFonts w:ascii="Verdana" w:hAnsi="Verdana"/>
          <w:sz w:val="24"/>
          <w:szCs w:val="24"/>
        </w:rPr>
        <w:t>e.g. cerebral palsy, autism) as well as</w:t>
      </w:r>
      <w:r w:rsidRPr="00F3555D">
        <w:rPr>
          <w:rFonts w:ascii="Verdana" w:hAnsi="Verdana"/>
          <w:sz w:val="24"/>
          <w:szCs w:val="24"/>
        </w:rPr>
        <w:t xml:space="preserve"> acquired disabilities (stroke, Parkinson’s).</w:t>
      </w:r>
    </w:p>
    <w:p w:rsidR="00BB0BE8" w:rsidRPr="00F3555D" w:rsidRDefault="00BB0BE8" w:rsidP="00BB0BE8">
      <w:pPr>
        <w:ind w:left="1440"/>
        <w:contextualSpacing/>
        <w:rPr>
          <w:rFonts w:ascii="Verdana" w:hAnsi="Verdana"/>
          <w:sz w:val="24"/>
          <w:szCs w:val="24"/>
        </w:rPr>
      </w:pPr>
    </w:p>
    <w:p w:rsidR="00BB0BE8" w:rsidRPr="00F3555D" w:rsidRDefault="00BB0BE8" w:rsidP="00BB0BE8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Understands and is able to explain to consumers vocabulary related to the device, features, and functions</w:t>
      </w:r>
    </w:p>
    <w:p w:rsidR="00BB0BE8" w:rsidRPr="00F3555D" w:rsidRDefault="00BB0BE8" w:rsidP="001E471B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Augmentative and Alternative Communication (AAC)</w:t>
      </w:r>
    </w:p>
    <w:p w:rsidR="00BB0BE8" w:rsidRPr="00F3555D" w:rsidRDefault="00BB0BE8" w:rsidP="001E471B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Speech Generating Device (SGD)</w:t>
      </w:r>
    </w:p>
    <w:p w:rsidR="00BB0BE8" w:rsidRPr="00F3555D" w:rsidRDefault="00BB0BE8" w:rsidP="001E471B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Digitized speech</w:t>
      </w:r>
    </w:p>
    <w:p w:rsidR="00BB0BE8" w:rsidRPr="00F3555D" w:rsidRDefault="00BB0BE8" w:rsidP="001E471B">
      <w:pPr>
        <w:numPr>
          <w:ilvl w:val="0"/>
          <w:numId w:val="1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Synthesized speech</w:t>
      </w:r>
    </w:p>
    <w:p w:rsidR="00BB0BE8" w:rsidRPr="00F3555D" w:rsidRDefault="00BB0BE8" w:rsidP="00BB0BE8">
      <w:pPr>
        <w:ind w:left="1440"/>
        <w:contextualSpacing/>
        <w:rPr>
          <w:rFonts w:ascii="Verdana" w:hAnsi="Verdana"/>
          <w:sz w:val="24"/>
          <w:szCs w:val="24"/>
        </w:rPr>
      </w:pPr>
    </w:p>
    <w:p w:rsidR="00BB0BE8" w:rsidRPr="00F3555D" w:rsidRDefault="00BB0BE8" w:rsidP="00BB0BE8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Able to compare and contrast product </w:t>
      </w:r>
      <w:r w:rsidRPr="00F3555D">
        <w:rPr>
          <w:rFonts w:ascii="Verdana" w:hAnsi="Verdana"/>
          <w:sz w:val="24"/>
          <w:szCs w:val="24"/>
          <w:u w:val="single"/>
        </w:rPr>
        <w:t>types</w:t>
      </w:r>
      <w:r w:rsidRPr="00F3555D">
        <w:rPr>
          <w:rFonts w:ascii="Verdana" w:hAnsi="Verdana"/>
          <w:sz w:val="24"/>
          <w:szCs w:val="24"/>
        </w:rPr>
        <w:t>, including features, capabilities, price</w:t>
      </w:r>
    </w:p>
    <w:p w:rsidR="00BB0BE8" w:rsidRPr="00F3555D" w:rsidRDefault="00BB0BE8" w:rsidP="001E471B">
      <w:pPr>
        <w:numPr>
          <w:ilvl w:val="0"/>
          <w:numId w:val="14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Tablet + app</w:t>
      </w:r>
    </w:p>
    <w:p w:rsidR="00BB0BE8" w:rsidRPr="00F3555D" w:rsidRDefault="00BB0BE8" w:rsidP="001E471B">
      <w:pPr>
        <w:numPr>
          <w:ilvl w:val="0"/>
          <w:numId w:val="14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“Dedicated” devices</w:t>
      </w:r>
    </w:p>
    <w:p w:rsidR="00BB0BE8" w:rsidRPr="00F3555D" w:rsidRDefault="00BB0BE8" w:rsidP="00BB0BE8">
      <w:pPr>
        <w:ind w:left="1440"/>
        <w:contextualSpacing/>
        <w:rPr>
          <w:rFonts w:ascii="Verdana" w:hAnsi="Verdana"/>
          <w:sz w:val="24"/>
          <w:szCs w:val="24"/>
        </w:rPr>
      </w:pPr>
    </w:p>
    <w:p w:rsidR="00BB0BE8" w:rsidRPr="00F3555D" w:rsidRDefault="00BB0BE8" w:rsidP="00BB0BE8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 Able to compare and contrast at least three products in each subcategory, including multiple/diverse manufacturers</w:t>
      </w:r>
    </w:p>
    <w:p w:rsidR="00BB0BE8" w:rsidRPr="00F3555D" w:rsidRDefault="00BB0BE8" w:rsidP="001E471B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Free apps</w:t>
      </w:r>
    </w:p>
    <w:p w:rsidR="00BB0BE8" w:rsidRPr="00F3555D" w:rsidRDefault="00BB0BE8" w:rsidP="001E471B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Full-featured apps (e.g. Speak for Yourself; Proloquo2go)</w:t>
      </w:r>
    </w:p>
    <w:p w:rsidR="00BB0BE8" w:rsidRPr="00F3555D" w:rsidRDefault="00BB0BE8" w:rsidP="001E471B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Digitized products </w:t>
      </w:r>
    </w:p>
    <w:p w:rsidR="00BB0BE8" w:rsidRPr="00F3555D" w:rsidRDefault="00BB0BE8" w:rsidP="001E471B">
      <w:pPr>
        <w:numPr>
          <w:ilvl w:val="0"/>
          <w:numId w:val="15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Synthesized products</w:t>
      </w:r>
    </w:p>
    <w:p w:rsidR="00BB0BE8" w:rsidRPr="00F3555D" w:rsidRDefault="00BB0BE8" w:rsidP="00BB0BE8">
      <w:pPr>
        <w:ind w:left="1440"/>
        <w:contextualSpacing/>
        <w:rPr>
          <w:rFonts w:ascii="Verdana" w:hAnsi="Verdana"/>
          <w:sz w:val="24"/>
          <w:szCs w:val="24"/>
        </w:rPr>
      </w:pPr>
    </w:p>
    <w:p w:rsidR="00BB0BE8" w:rsidRPr="00F3555D" w:rsidRDefault="00BB0BE8" w:rsidP="00BB0BE8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lastRenderedPageBreak/>
        <w:t xml:space="preserve">Able to discuss related technologies </w:t>
      </w:r>
    </w:p>
    <w:p w:rsidR="00BB0BE8" w:rsidRPr="00F3555D" w:rsidRDefault="00BB0BE8" w:rsidP="001E471B">
      <w:pPr>
        <w:numPr>
          <w:ilvl w:val="0"/>
          <w:numId w:val="16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Mounting</w:t>
      </w:r>
    </w:p>
    <w:p w:rsidR="00BB0BE8" w:rsidRPr="00F3555D" w:rsidRDefault="00BB0BE8" w:rsidP="001E471B">
      <w:pPr>
        <w:numPr>
          <w:ilvl w:val="0"/>
          <w:numId w:val="16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Switch access</w:t>
      </w:r>
    </w:p>
    <w:p w:rsidR="00BB0BE8" w:rsidRPr="00F3555D" w:rsidRDefault="00BB0BE8" w:rsidP="001E471B">
      <w:pPr>
        <w:numPr>
          <w:ilvl w:val="0"/>
          <w:numId w:val="16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Computer access</w:t>
      </w:r>
    </w:p>
    <w:p w:rsidR="00BB0BE8" w:rsidRPr="00F3555D" w:rsidRDefault="00BB0BE8" w:rsidP="001E471B">
      <w:pPr>
        <w:numPr>
          <w:ilvl w:val="0"/>
          <w:numId w:val="16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Telecommunications access</w:t>
      </w:r>
    </w:p>
    <w:p w:rsidR="00BB0BE8" w:rsidRPr="00F3555D" w:rsidRDefault="00BB0BE8" w:rsidP="00BB0BE8">
      <w:pPr>
        <w:ind w:left="1440"/>
        <w:contextualSpacing/>
        <w:rPr>
          <w:rFonts w:ascii="Verdana" w:hAnsi="Verdana"/>
          <w:sz w:val="24"/>
          <w:szCs w:val="24"/>
        </w:rPr>
      </w:pPr>
    </w:p>
    <w:p w:rsidR="00BB0BE8" w:rsidRDefault="00BB0BE8" w:rsidP="00BB0BE8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Has a basic understanding of potential public funding sources for this technology (e.g. sufficient to make referrals).</w:t>
      </w:r>
    </w:p>
    <w:p w:rsidR="00FA50D6" w:rsidRDefault="00FA50D6" w:rsidP="001E471B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FA50D6">
        <w:rPr>
          <w:rFonts w:ascii="Verdana" w:hAnsi="Verdana"/>
          <w:sz w:val="24"/>
          <w:szCs w:val="24"/>
        </w:rPr>
        <w:t xml:space="preserve">Recommendations for specific equipment </w:t>
      </w:r>
      <w:proofErr w:type="gramStart"/>
      <w:r w:rsidRPr="00FA50D6">
        <w:rPr>
          <w:rFonts w:ascii="Verdana" w:hAnsi="Verdana"/>
          <w:sz w:val="24"/>
          <w:szCs w:val="24"/>
        </w:rPr>
        <w:t>will be made</w:t>
      </w:r>
      <w:proofErr w:type="gramEnd"/>
      <w:r w:rsidRPr="00FA50D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 team that includes a licensed speech-language pathologist.</w:t>
      </w:r>
    </w:p>
    <w:p w:rsidR="00FA50D6" w:rsidRPr="00FA50D6" w:rsidRDefault="00FA50D6" w:rsidP="001E471B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FA50D6">
        <w:rPr>
          <w:rFonts w:ascii="Verdana" w:hAnsi="Verdana"/>
          <w:sz w:val="24"/>
          <w:szCs w:val="24"/>
        </w:rPr>
        <w:t xml:space="preserve">A doctor’s order or prescription is necessary to submit for possible insurance coverage; </w:t>
      </w:r>
    </w:p>
    <w:p w:rsidR="00FA50D6" w:rsidRDefault="00FA50D6" w:rsidP="001E471B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3809C3">
        <w:rPr>
          <w:rFonts w:ascii="Verdana" w:hAnsi="Verdana"/>
          <w:sz w:val="24"/>
          <w:szCs w:val="24"/>
        </w:rPr>
        <w:t xml:space="preserve">Understands the definition of ‘durable medical equipment’ and what is included and not included in this category; </w:t>
      </w:r>
    </w:p>
    <w:p w:rsidR="00FA50D6" w:rsidRDefault="00FA50D6" w:rsidP="001E471B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 children:  understands the role of public education in including AAC in the IEP and providing devices and services;</w:t>
      </w:r>
    </w:p>
    <w:p w:rsidR="00FA50D6" w:rsidRPr="00FA50D6" w:rsidRDefault="00FA50D6" w:rsidP="001E471B">
      <w:pPr>
        <w:pStyle w:val="ListParagraph"/>
        <w:numPr>
          <w:ilvl w:val="1"/>
          <w:numId w:val="17"/>
        </w:numPr>
        <w:spacing w:after="0" w:line="240" w:lineRule="auto"/>
        <w:ind w:left="720"/>
        <w:rPr>
          <w:rFonts w:ascii="Verdana" w:hAnsi="Verdana"/>
          <w:sz w:val="24"/>
          <w:szCs w:val="24"/>
        </w:rPr>
      </w:pPr>
      <w:r w:rsidRPr="00FA50D6">
        <w:rPr>
          <w:rFonts w:ascii="Verdana" w:hAnsi="Verdana"/>
          <w:sz w:val="24"/>
          <w:szCs w:val="24"/>
        </w:rPr>
        <w:t xml:space="preserve">Knows the community resources that </w:t>
      </w:r>
      <w:r>
        <w:rPr>
          <w:rFonts w:ascii="Verdana" w:hAnsi="Verdana"/>
          <w:sz w:val="24"/>
          <w:szCs w:val="24"/>
        </w:rPr>
        <w:t xml:space="preserve">can </w:t>
      </w:r>
      <w:r w:rsidRPr="00FA50D6">
        <w:rPr>
          <w:rFonts w:ascii="Verdana" w:hAnsi="Verdana"/>
          <w:sz w:val="24"/>
          <w:szCs w:val="24"/>
        </w:rPr>
        <w:t xml:space="preserve">provide </w:t>
      </w:r>
      <w:r>
        <w:rPr>
          <w:rFonts w:ascii="Verdana" w:hAnsi="Verdana"/>
          <w:sz w:val="24"/>
          <w:szCs w:val="24"/>
        </w:rPr>
        <w:t xml:space="preserve">additional </w:t>
      </w:r>
      <w:r w:rsidRPr="00FA50D6">
        <w:rPr>
          <w:rFonts w:ascii="Verdana" w:hAnsi="Verdana"/>
          <w:sz w:val="24"/>
          <w:szCs w:val="24"/>
        </w:rPr>
        <w:t xml:space="preserve">information regarding </w:t>
      </w:r>
      <w:r>
        <w:rPr>
          <w:rFonts w:ascii="Verdana" w:hAnsi="Verdana"/>
          <w:sz w:val="24"/>
          <w:szCs w:val="24"/>
        </w:rPr>
        <w:t>funding.</w:t>
      </w:r>
    </w:p>
    <w:p w:rsidR="00BB0BE8" w:rsidRPr="00F3555D" w:rsidRDefault="00BB0BE8" w:rsidP="00BB0BE8">
      <w:pPr>
        <w:ind w:left="1080"/>
        <w:contextualSpacing/>
        <w:rPr>
          <w:rFonts w:ascii="Verdana" w:hAnsi="Verdana"/>
          <w:sz w:val="24"/>
          <w:szCs w:val="24"/>
        </w:rPr>
      </w:pPr>
    </w:p>
    <w:p w:rsidR="00850354" w:rsidRPr="00F3555D" w:rsidRDefault="00BB0BE8" w:rsidP="00AB1703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Other considerations:  Demonstrator does NOT need to be a speech-language pathologist but must be able to explain the need for full evaluation vs. this “demonstration”</w:t>
      </w:r>
      <w:proofErr w:type="gramStart"/>
      <w:r w:rsidRPr="00F3555D">
        <w:rPr>
          <w:rFonts w:ascii="Verdana" w:hAnsi="Verdana"/>
          <w:sz w:val="24"/>
          <w:szCs w:val="24"/>
        </w:rPr>
        <w:t>;</w:t>
      </w:r>
      <w:proofErr w:type="gramEnd"/>
      <w:r w:rsidRPr="00F3555D">
        <w:rPr>
          <w:rFonts w:ascii="Verdana" w:hAnsi="Verdana"/>
          <w:sz w:val="24"/>
          <w:szCs w:val="24"/>
        </w:rPr>
        <w:t xml:space="preserve"> able to make referrals to evaluator(s).</w:t>
      </w:r>
    </w:p>
    <w:p w:rsidR="00BB0BE8" w:rsidRPr="00F3555D" w:rsidRDefault="00BB0BE8" w:rsidP="00850354">
      <w:p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 </w:t>
      </w:r>
    </w:p>
    <w:p w:rsidR="00BB0BE8" w:rsidRPr="00F3555D" w:rsidRDefault="00BB0BE8" w:rsidP="00BB0BE8">
      <w:pPr>
        <w:numPr>
          <w:ilvl w:val="0"/>
          <w:numId w:val="2"/>
        </w:numPr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>Resources for gaining additi</w:t>
      </w:r>
      <w:r w:rsidR="00850354" w:rsidRPr="00F3555D">
        <w:rPr>
          <w:rFonts w:ascii="Verdana" w:hAnsi="Verdana"/>
          <w:sz w:val="24"/>
          <w:szCs w:val="24"/>
        </w:rPr>
        <w:t>onal information on this topic:</w:t>
      </w:r>
    </w:p>
    <w:p w:rsidR="00BB0BE8" w:rsidRPr="00F3555D" w:rsidRDefault="00BB0BE8" w:rsidP="001E471B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bookmarkStart w:id="0" w:name="_GoBack"/>
      <w:r w:rsidRPr="00F3555D">
        <w:rPr>
          <w:rFonts w:ascii="Verdana" w:hAnsi="Verdana"/>
          <w:sz w:val="24"/>
          <w:szCs w:val="24"/>
        </w:rPr>
        <w:t>ATIA webinars</w:t>
      </w:r>
    </w:p>
    <w:p w:rsidR="00BB0BE8" w:rsidRPr="00F3555D" w:rsidRDefault="00BB0BE8" w:rsidP="001E471B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AAC Institute </w:t>
      </w:r>
      <w:hyperlink r:id="rId7" w:history="1">
        <w:r w:rsidRPr="00F3555D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https://aacinstitute.org/online-courses/</w:t>
        </w:r>
      </w:hyperlink>
    </w:p>
    <w:p w:rsidR="00BB0BE8" w:rsidRPr="00F3555D" w:rsidRDefault="00BB0BE8" w:rsidP="001E471B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National Joint Committee on the Communication Needs of Persons with Severe Disabilities </w:t>
      </w:r>
      <w:hyperlink r:id="rId8" w:history="1">
        <w:r w:rsidRPr="00F3555D">
          <w:rPr>
            <w:rFonts w:ascii="Verdana" w:hAnsi="Verdana"/>
            <w:color w:val="0563C1" w:themeColor="hyperlink"/>
            <w:sz w:val="24"/>
            <w:szCs w:val="24"/>
            <w:u w:val="single"/>
          </w:rPr>
          <w:t>www.asha.org/njc</w:t>
        </w:r>
      </w:hyperlink>
    </w:p>
    <w:p w:rsidR="00BB0BE8" w:rsidRPr="00F3555D" w:rsidRDefault="00BB0BE8" w:rsidP="001E471B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OCALI (Ohio Center for Autism and Low Incidence) </w:t>
      </w:r>
      <w:hyperlink r:id="rId9" w:history="1">
        <w:r w:rsidRPr="00F3555D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http://www.autisminternetmodules.org/user_mod.php</w:t>
        </w:r>
      </w:hyperlink>
    </w:p>
    <w:p w:rsidR="00BB0BE8" w:rsidRPr="00F3555D" w:rsidRDefault="00BB0BE8" w:rsidP="001E471B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International Society for Augmentative and Alternative Communication (ISAAC) </w:t>
      </w:r>
      <w:hyperlink r:id="rId10" w:history="1">
        <w:r w:rsidRPr="00F3555D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https://www.youtube.com/user/ISAACVideoChannel/</w:t>
        </w:r>
      </w:hyperlink>
      <w:r w:rsidRPr="00F3555D">
        <w:rPr>
          <w:rFonts w:ascii="Verdana" w:hAnsi="Verdana"/>
          <w:sz w:val="24"/>
          <w:szCs w:val="24"/>
        </w:rPr>
        <w:t xml:space="preserve"> (and USSAAC, the US Chapter)</w:t>
      </w:r>
    </w:p>
    <w:p w:rsidR="00BB0BE8" w:rsidRPr="00F3555D" w:rsidRDefault="00BB0BE8" w:rsidP="001E471B">
      <w:pPr>
        <w:numPr>
          <w:ilvl w:val="0"/>
          <w:numId w:val="3"/>
        </w:numPr>
        <w:ind w:left="720"/>
        <w:contextualSpacing/>
        <w:rPr>
          <w:rFonts w:ascii="Verdana" w:hAnsi="Verdana"/>
          <w:sz w:val="24"/>
          <w:szCs w:val="24"/>
        </w:rPr>
      </w:pPr>
      <w:r w:rsidRPr="00F3555D">
        <w:rPr>
          <w:rFonts w:ascii="Verdana" w:hAnsi="Verdana"/>
          <w:sz w:val="24"/>
          <w:szCs w:val="24"/>
        </w:rPr>
        <w:t xml:space="preserve">Vendor/manufacturer training materials on their websites/video channels (e.g. </w:t>
      </w:r>
      <w:hyperlink r:id="rId11" w:history="1">
        <w:r w:rsidRPr="00F3555D">
          <w:rPr>
            <w:rFonts w:ascii="Verdana" w:hAnsi="Verdana"/>
            <w:color w:val="0563C1" w:themeColor="hyperlink"/>
            <w:sz w:val="24"/>
            <w:szCs w:val="24"/>
            <w:u w:val="single"/>
          </w:rPr>
          <w:t>https://www.tobiidynavox.com/en-US/support-training/webinars/</w:t>
        </w:r>
      </w:hyperlink>
      <w:r w:rsidRPr="00F3555D">
        <w:rPr>
          <w:rFonts w:ascii="Verdana" w:hAnsi="Verdana"/>
          <w:sz w:val="24"/>
          <w:szCs w:val="24"/>
        </w:rPr>
        <w:t>; http://www.speakforyourself.org/tutorials/)</w:t>
      </w:r>
    </w:p>
    <w:bookmarkEnd w:id="0"/>
    <w:p w:rsidR="00D91D92" w:rsidRPr="00F3555D" w:rsidRDefault="00D91D92" w:rsidP="00D91D92">
      <w:pPr>
        <w:rPr>
          <w:rFonts w:ascii="Verdana" w:hAnsi="Verdana"/>
          <w:sz w:val="24"/>
          <w:szCs w:val="24"/>
        </w:rPr>
      </w:pPr>
    </w:p>
    <w:p w:rsidR="00D91D92" w:rsidRPr="00F3555D" w:rsidRDefault="00D91D92" w:rsidP="00581616">
      <w:pPr>
        <w:spacing w:after="0" w:line="240" w:lineRule="auto"/>
        <w:rPr>
          <w:rFonts w:ascii="Verdana" w:hAnsi="Verdana"/>
          <w:sz w:val="18"/>
          <w:szCs w:val="18"/>
        </w:rPr>
      </w:pPr>
      <w:r w:rsidRPr="00F3555D">
        <w:rPr>
          <w:rFonts w:ascii="Verdana" w:hAnsi="Verdana" w:cs="Myriad Pro"/>
          <w:i/>
          <w:color w:val="000000"/>
          <w:sz w:val="18"/>
          <w:szCs w:val="18"/>
        </w:rPr>
        <w:lastRenderedPageBreak/>
        <w:t>This</w:t>
      </w:r>
      <w:r w:rsidR="00581616" w:rsidRPr="00F3555D">
        <w:rPr>
          <w:rFonts w:ascii="Verdana" w:hAnsi="Verdana" w:cs="Myriad Pro"/>
          <w:i/>
          <w:color w:val="000000"/>
          <w:sz w:val="18"/>
          <w:szCs w:val="18"/>
        </w:rPr>
        <w:t xml:space="preserve"> </w:t>
      </w:r>
      <w:r w:rsidRPr="00F3555D">
        <w:rPr>
          <w:rFonts w:ascii="Verdana" w:hAnsi="Verdana" w:cs="Myriad Pro"/>
          <w:i/>
          <w:color w:val="000000"/>
          <w:sz w:val="18"/>
          <w:szCs w:val="18"/>
        </w:rPr>
        <w:t xml:space="preserve">document </w:t>
      </w:r>
      <w:proofErr w:type="gramStart"/>
      <w:r w:rsidRPr="00F3555D">
        <w:rPr>
          <w:rFonts w:ascii="Verdana" w:hAnsi="Verdana" w:cs="Myriad Pro"/>
          <w:i/>
          <w:color w:val="000000"/>
          <w:sz w:val="18"/>
          <w:szCs w:val="18"/>
        </w:rPr>
        <w:t xml:space="preserve">was developed and produced by the </w:t>
      </w:r>
      <w:hyperlink r:id="rId12" w:history="1">
        <w:r w:rsidRPr="00F3555D">
          <w:rPr>
            <w:rFonts w:ascii="Verdana" w:hAnsi="Verdana" w:cs="Myriad Pro"/>
            <w:i/>
            <w:color w:val="0563C1" w:themeColor="hyperlink"/>
            <w:sz w:val="18"/>
            <w:szCs w:val="18"/>
            <w:u w:val="single"/>
          </w:rPr>
          <w:t>Assistive Technology Act Technical Assistance and Training (AT3) Center</w:t>
        </w:r>
      </w:hyperlink>
      <w:r w:rsidRPr="00F3555D">
        <w:rPr>
          <w:rFonts w:ascii="Verdana" w:hAnsi="Verdana" w:cs="Myriad Pro"/>
          <w:i/>
          <w:color w:val="000000"/>
          <w:sz w:val="18"/>
          <w:szCs w:val="18"/>
        </w:rPr>
        <w:t xml:space="preserve"> funded by Grant #90ATTA0001-01-00 from the Administration for Community Living (ACL)</w:t>
      </w:r>
      <w:proofErr w:type="gramEnd"/>
      <w:r w:rsidRPr="00F3555D">
        <w:rPr>
          <w:rFonts w:ascii="Verdana" w:hAnsi="Verdana" w:cs="Myriad Pro"/>
          <w:i/>
          <w:color w:val="000000"/>
          <w:sz w:val="18"/>
          <w:szCs w:val="18"/>
        </w:rPr>
        <w:t xml:space="preserve">. Any opinions reflected herein are solely the responsibility of the authors and do not necessarily represent the official views of ACL. Last updated </w:t>
      </w:r>
      <w:r w:rsidR="00C82918" w:rsidRPr="00F3555D">
        <w:rPr>
          <w:rFonts w:ascii="Verdana" w:hAnsi="Verdana" w:cs="Myriad Pro"/>
          <w:i/>
          <w:color w:val="000000"/>
          <w:sz w:val="18"/>
          <w:szCs w:val="18"/>
        </w:rPr>
        <w:t>April</w:t>
      </w:r>
      <w:r w:rsidRPr="00F3555D">
        <w:rPr>
          <w:rFonts w:ascii="Verdana" w:hAnsi="Verdana" w:cs="Myriad Pro"/>
          <w:i/>
          <w:sz w:val="18"/>
          <w:szCs w:val="18"/>
        </w:rPr>
        <w:t xml:space="preserve"> 2018</w:t>
      </w:r>
      <w:r w:rsidR="00581616" w:rsidRPr="00F3555D">
        <w:rPr>
          <w:rFonts w:ascii="Verdana" w:hAnsi="Verdana" w:cs="Myriad Pro"/>
          <w:i/>
          <w:sz w:val="18"/>
          <w:szCs w:val="18"/>
        </w:rPr>
        <w:t>.</w:t>
      </w:r>
    </w:p>
    <w:sectPr w:rsidR="00D91D92" w:rsidRPr="00F3555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23" w:rsidRDefault="00082623" w:rsidP="00103039">
      <w:pPr>
        <w:spacing w:after="0" w:line="240" w:lineRule="auto"/>
      </w:pPr>
      <w:r>
        <w:separator/>
      </w:r>
    </w:p>
  </w:endnote>
  <w:endnote w:type="continuationSeparator" w:id="0">
    <w:p w:rsidR="00082623" w:rsidRDefault="00082623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7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1BA" w:rsidRDefault="0074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23" w:rsidRDefault="00082623" w:rsidP="00103039">
      <w:pPr>
        <w:spacing w:after="0" w:line="240" w:lineRule="auto"/>
      </w:pPr>
      <w:r>
        <w:separator/>
      </w:r>
    </w:p>
  </w:footnote>
  <w:footnote w:type="continuationSeparator" w:id="0">
    <w:p w:rsidR="00082623" w:rsidRDefault="00082623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404A8307" wp14:editId="0591810F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:rsidR="00103039" w:rsidRDefault="0010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F52"/>
    <w:multiLevelType w:val="hybridMultilevel"/>
    <w:tmpl w:val="5574DDDA"/>
    <w:lvl w:ilvl="0" w:tplc="33AE2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D593C"/>
    <w:multiLevelType w:val="hybridMultilevel"/>
    <w:tmpl w:val="7D1880D0"/>
    <w:lvl w:ilvl="0" w:tplc="473AE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6E0B32"/>
    <w:multiLevelType w:val="hybridMultilevel"/>
    <w:tmpl w:val="7D2A29EA"/>
    <w:lvl w:ilvl="0" w:tplc="37D2D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B468FB"/>
    <w:multiLevelType w:val="hybridMultilevel"/>
    <w:tmpl w:val="52804E46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B7209"/>
    <w:multiLevelType w:val="hybridMultilevel"/>
    <w:tmpl w:val="D4CAE3BE"/>
    <w:lvl w:ilvl="0" w:tplc="CE88C186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D881E19"/>
    <w:multiLevelType w:val="hybridMultilevel"/>
    <w:tmpl w:val="DCA6548C"/>
    <w:lvl w:ilvl="0" w:tplc="A99EA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D92CB0"/>
    <w:multiLevelType w:val="hybridMultilevel"/>
    <w:tmpl w:val="79784BEA"/>
    <w:lvl w:ilvl="0" w:tplc="5F3E6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DB7CC6"/>
    <w:multiLevelType w:val="hybridMultilevel"/>
    <w:tmpl w:val="B47A55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227DC"/>
    <w:multiLevelType w:val="hybridMultilevel"/>
    <w:tmpl w:val="FB6CEEB0"/>
    <w:lvl w:ilvl="0" w:tplc="01A68F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476D4"/>
    <w:multiLevelType w:val="hybridMultilevel"/>
    <w:tmpl w:val="56BE2566"/>
    <w:lvl w:ilvl="0" w:tplc="9408A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1A51BB"/>
    <w:multiLevelType w:val="hybridMultilevel"/>
    <w:tmpl w:val="7E88C38C"/>
    <w:lvl w:ilvl="0" w:tplc="FA147D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D94751"/>
    <w:multiLevelType w:val="hybridMultilevel"/>
    <w:tmpl w:val="97A05CB6"/>
    <w:lvl w:ilvl="0" w:tplc="C7AE1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9"/>
    <w:rsid w:val="000341B1"/>
    <w:rsid w:val="00054309"/>
    <w:rsid w:val="000543E3"/>
    <w:rsid w:val="00082623"/>
    <w:rsid w:val="00103039"/>
    <w:rsid w:val="001C0D8A"/>
    <w:rsid w:val="001E471B"/>
    <w:rsid w:val="001F58FF"/>
    <w:rsid w:val="0024197D"/>
    <w:rsid w:val="00291763"/>
    <w:rsid w:val="002C2D68"/>
    <w:rsid w:val="002C7052"/>
    <w:rsid w:val="002C7EE8"/>
    <w:rsid w:val="002E587B"/>
    <w:rsid w:val="00312180"/>
    <w:rsid w:val="00333F6B"/>
    <w:rsid w:val="003947A3"/>
    <w:rsid w:val="003C5034"/>
    <w:rsid w:val="003C73AB"/>
    <w:rsid w:val="003F2B23"/>
    <w:rsid w:val="00422628"/>
    <w:rsid w:val="0045003F"/>
    <w:rsid w:val="00456D27"/>
    <w:rsid w:val="00494959"/>
    <w:rsid w:val="004C549C"/>
    <w:rsid w:val="00534DF8"/>
    <w:rsid w:val="0054496D"/>
    <w:rsid w:val="00581616"/>
    <w:rsid w:val="006C76A5"/>
    <w:rsid w:val="007431BA"/>
    <w:rsid w:val="00850354"/>
    <w:rsid w:val="00874222"/>
    <w:rsid w:val="00934585"/>
    <w:rsid w:val="00975BCB"/>
    <w:rsid w:val="009861C5"/>
    <w:rsid w:val="00A0581A"/>
    <w:rsid w:val="00B01890"/>
    <w:rsid w:val="00B42144"/>
    <w:rsid w:val="00BB0BE8"/>
    <w:rsid w:val="00BE4DE2"/>
    <w:rsid w:val="00BE4F13"/>
    <w:rsid w:val="00C82918"/>
    <w:rsid w:val="00CD3B3E"/>
    <w:rsid w:val="00CE590B"/>
    <w:rsid w:val="00D63A34"/>
    <w:rsid w:val="00D74235"/>
    <w:rsid w:val="00D91D92"/>
    <w:rsid w:val="00DA61F8"/>
    <w:rsid w:val="00DE1B62"/>
    <w:rsid w:val="00DE2BEE"/>
    <w:rsid w:val="00ED1020"/>
    <w:rsid w:val="00F3555D"/>
    <w:rsid w:val="00F66AC3"/>
    <w:rsid w:val="00F75FEF"/>
    <w:rsid w:val="00F91B0E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DD1BA"/>
  <w15:docId w15:val="{67292834-F2D0-409A-9727-63CE417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C73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a.org/nj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acinstitute.org/online-courses/" TargetMode="External"/><Relationship Id="rId12" Type="http://schemas.openxmlformats.org/officeDocument/2006/relationships/hyperlink" Target="https://www.at3center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biidynavox.com/en-US/support-training/webina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user/ISAACVideoChann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tisminternetmodules.org/user_mod.ph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dcterms:created xsi:type="dcterms:W3CDTF">2018-04-10T04:32:00Z</dcterms:created>
  <dcterms:modified xsi:type="dcterms:W3CDTF">2018-04-11T14:38:00Z</dcterms:modified>
</cp:coreProperties>
</file>